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4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4914"/>
        <w:gridCol w:w="4914"/>
        <w:gridCol w:w="4914"/>
      </w:tblGrid>
      <w:tr w:rsidR="0019049F" w:rsidRPr="00B67509">
        <w:trPr>
          <w:trHeight w:val="284"/>
        </w:trPr>
        <w:tc>
          <w:tcPr>
            <w:tcW w:w="4914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8A2FFA" w:rsidRPr="00B67509" w:rsidRDefault="00811323" w:rsidP="0019049F">
            <w:pPr>
              <w:spacing w:line="220" w:lineRule="atLeast"/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 xml:space="preserve">-  </w:t>
            </w:r>
            <w:r w:rsidRPr="00B67509">
              <w:rPr>
                <w:b/>
                <w:color w:val="FFFFFF"/>
                <w:sz w:val="18"/>
              </w:rPr>
              <w:t>VARIANT</w:t>
            </w:r>
          </w:p>
        </w:tc>
        <w:tc>
          <w:tcPr>
            <w:tcW w:w="4914" w:type="dxa"/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19049F" w:rsidRPr="00A9384C" w:rsidRDefault="0019049F" w:rsidP="0019049F">
            <w:pPr>
              <w:spacing w:line="220" w:lineRule="atLeast"/>
              <w:jc w:val="center"/>
              <w:rPr>
                <w:b/>
                <w:caps/>
                <w:color w:val="FFFFFF"/>
                <w:sz w:val="18"/>
              </w:rPr>
            </w:pPr>
            <w:r>
              <w:rPr>
                <w:b/>
                <w:caps/>
                <w:color w:val="FFFFFF"/>
                <w:sz w:val="18"/>
              </w:rPr>
              <w:t>medewerker debiteurenadministratie</w:t>
            </w:r>
          </w:p>
        </w:tc>
        <w:tc>
          <w:tcPr>
            <w:tcW w:w="4914" w:type="dxa"/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19049F" w:rsidRPr="00B67509" w:rsidRDefault="0019049F" w:rsidP="0019049F">
            <w:pPr>
              <w:spacing w:line="220" w:lineRule="atLeast"/>
              <w:jc w:val="center"/>
              <w:rPr>
                <w:b/>
                <w:color w:val="FFFFFF"/>
                <w:sz w:val="18"/>
              </w:rPr>
            </w:pPr>
            <w:r w:rsidRPr="00B67509">
              <w:rPr>
                <w:b/>
                <w:color w:val="FFFFFF"/>
                <w:sz w:val="18"/>
              </w:rPr>
              <w:t>+  VARIANT</w:t>
            </w:r>
          </w:p>
        </w:tc>
      </w:tr>
      <w:tr w:rsidR="0019049F" w:rsidRPr="00B67509">
        <w:trPr>
          <w:trHeight w:val="2286"/>
        </w:trPr>
        <w:tc>
          <w:tcPr>
            <w:tcW w:w="4914" w:type="dxa"/>
            <w:vMerge w:val="restart"/>
            <w:tcBorders>
              <w:top w:val="single" w:sz="4" w:space="0" w:color="auto"/>
            </w:tcBorders>
            <w:tcMar>
              <w:top w:w="113" w:type="dxa"/>
              <w:bottom w:w="113" w:type="dxa"/>
            </w:tcMar>
          </w:tcPr>
          <w:p w:rsidR="0019049F" w:rsidRPr="00B67509" w:rsidRDefault="0019049F" w:rsidP="0019049F">
            <w:pPr>
              <w:spacing w:line="200" w:lineRule="atLeast"/>
              <w:rPr>
                <w:sz w:val="16"/>
              </w:rPr>
            </w:pPr>
            <w:r w:rsidRPr="00B67509">
              <w:rPr>
                <w:sz w:val="16"/>
              </w:rPr>
              <w:t>De bedrijfsfunctie heeft minder verantwoordelijkheden, doordat er sprake is van:</w:t>
            </w:r>
          </w:p>
          <w:p w:rsidR="0019049F" w:rsidRPr="00B67509" w:rsidRDefault="0019049F" w:rsidP="0019049F">
            <w:pPr>
              <w:spacing w:line="200" w:lineRule="atLeast"/>
              <w:ind w:left="284" w:hanging="284"/>
              <w:rPr>
                <w:sz w:val="16"/>
              </w:rPr>
            </w:pPr>
            <w:r w:rsidRPr="00B67509">
              <w:rPr>
                <w:sz w:val="16"/>
              </w:rPr>
              <w:t>-</w:t>
            </w:r>
            <w:r w:rsidRPr="00B67509">
              <w:rPr>
                <w:sz w:val="16"/>
              </w:rPr>
              <w:tab/>
            </w:r>
            <w:r>
              <w:rPr>
                <w:sz w:val="16"/>
              </w:rPr>
              <w:t>de i</w:t>
            </w:r>
            <w:r w:rsidRPr="00B67509">
              <w:rPr>
                <w:sz w:val="16"/>
              </w:rPr>
              <w:t xml:space="preserve">nhoudelijke controle van facturen door de afdeling reserveringen/frontoffice, waardoor de controle door de medewerker debiteurenadministratie beperkt is tot </w:t>
            </w:r>
            <w:r>
              <w:rPr>
                <w:sz w:val="16"/>
              </w:rPr>
              <w:t>aanwezigheid van de parafen, tenaamstelling</w:t>
            </w:r>
            <w:r w:rsidRPr="00B67509">
              <w:rPr>
                <w:sz w:val="16"/>
              </w:rPr>
              <w:t xml:space="preserve"> e.d.</w:t>
            </w:r>
            <w:r>
              <w:rPr>
                <w:sz w:val="16"/>
              </w:rPr>
              <w:t>;</w:t>
            </w:r>
          </w:p>
          <w:p w:rsidR="0019049F" w:rsidRPr="00B67509" w:rsidRDefault="0019049F" w:rsidP="0019049F">
            <w:pPr>
              <w:spacing w:line="200" w:lineRule="atLeast"/>
              <w:ind w:left="284" w:hanging="284"/>
              <w:rPr>
                <w:sz w:val="16"/>
              </w:rPr>
            </w:pPr>
            <w:r w:rsidRPr="00B67509">
              <w:rPr>
                <w:sz w:val="16"/>
              </w:rPr>
              <w:t>-</w:t>
            </w:r>
            <w:r w:rsidRPr="00B67509">
              <w:rPr>
                <w:sz w:val="16"/>
              </w:rPr>
              <w:tab/>
            </w:r>
            <w:r>
              <w:rPr>
                <w:sz w:val="16"/>
              </w:rPr>
              <w:t>de v</w:t>
            </w:r>
            <w:r w:rsidRPr="00B67509">
              <w:rPr>
                <w:sz w:val="16"/>
              </w:rPr>
              <w:t xml:space="preserve">erwerking </w:t>
            </w:r>
            <w:r>
              <w:rPr>
                <w:sz w:val="16"/>
              </w:rPr>
              <w:t xml:space="preserve">van </w:t>
            </w:r>
            <w:r w:rsidRPr="00B67509">
              <w:rPr>
                <w:sz w:val="16"/>
              </w:rPr>
              <w:t>betalingen en uitzoeken van verschillen voornamelijk op boekingsniveau plaats vindt en w</w:t>
            </w:r>
            <w:r>
              <w:rPr>
                <w:sz w:val="16"/>
              </w:rPr>
              <w:t>ordt gestuurd door het systeem;</w:t>
            </w:r>
            <w:r>
              <w:rPr>
                <w:sz w:val="16"/>
              </w:rPr>
              <w:br/>
              <w:t>E</w:t>
            </w:r>
            <w:r w:rsidRPr="00B67509">
              <w:rPr>
                <w:sz w:val="16"/>
              </w:rPr>
              <w:t>r is geen sprake van controle op klant- of contractniveau (gecombineerde betalingen, samengestelde facturen, sp</w:t>
            </w:r>
            <w:r>
              <w:rPr>
                <w:sz w:val="16"/>
              </w:rPr>
              <w:t>eciale kortingsregelingen e.d.);</w:t>
            </w:r>
          </w:p>
          <w:p w:rsidR="0019049F" w:rsidRDefault="0019049F" w:rsidP="0019049F">
            <w:pPr>
              <w:spacing w:line="200" w:lineRule="atLeast"/>
              <w:ind w:left="284" w:hanging="284"/>
              <w:rPr>
                <w:sz w:val="16"/>
              </w:rPr>
            </w:pPr>
            <w:r w:rsidRPr="00B67509">
              <w:rPr>
                <w:sz w:val="16"/>
              </w:rPr>
              <w:t>-</w:t>
            </w:r>
            <w:r w:rsidRPr="00B67509">
              <w:rPr>
                <w:sz w:val="16"/>
              </w:rPr>
              <w:tab/>
            </w:r>
            <w:r>
              <w:rPr>
                <w:sz w:val="16"/>
              </w:rPr>
              <w:t>het k</w:t>
            </w:r>
            <w:r w:rsidRPr="00B67509">
              <w:rPr>
                <w:sz w:val="16"/>
              </w:rPr>
              <w:t xml:space="preserve">lantcontact n.a.v. betalingsachterstanden beperkt is tot schriftelijke procedures en telefonisch melden. </w:t>
            </w:r>
            <w:r>
              <w:rPr>
                <w:sz w:val="16"/>
              </w:rPr>
              <w:br/>
            </w:r>
            <w:r w:rsidRPr="00B67509">
              <w:rPr>
                <w:sz w:val="16"/>
              </w:rPr>
              <w:t>Bij gebleken ontevredenheid over door eigen organisatie geleverde prestatie wordt direct opgeschaald/verwezen naar de manager of de afdeling sales.</w:t>
            </w:r>
          </w:p>
          <w:p w:rsidR="0019049F" w:rsidRDefault="0019049F" w:rsidP="0019049F">
            <w:pPr>
              <w:spacing w:line="200" w:lineRule="atLeast"/>
              <w:ind w:left="284" w:hanging="284"/>
              <w:rPr>
                <w:sz w:val="16"/>
              </w:rPr>
            </w:pPr>
          </w:p>
          <w:p w:rsidR="0019049F" w:rsidRDefault="0019049F" w:rsidP="0019049F">
            <w:pPr>
              <w:spacing w:line="200" w:lineRule="atLeast"/>
              <w:ind w:left="284" w:hanging="284"/>
              <w:rPr>
                <w:sz w:val="16"/>
              </w:rPr>
            </w:pPr>
          </w:p>
          <w:p w:rsidR="0019049F" w:rsidRPr="00557AE4" w:rsidRDefault="0019049F" w:rsidP="0019049F">
            <w:pPr>
              <w:spacing w:line="200" w:lineRule="atLeast"/>
              <w:ind w:left="284" w:hanging="284"/>
              <w:rPr>
                <w:color w:val="262626"/>
                <w:sz w:val="16"/>
              </w:rPr>
            </w:pPr>
            <w:r w:rsidRPr="00557AE4">
              <w:rPr>
                <w:color w:val="262626"/>
                <w:sz w:val="16"/>
              </w:rPr>
              <w:t>Referentiefunctie handboek 2002:</w:t>
            </w:r>
          </w:p>
          <w:p w:rsidR="0019049F" w:rsidRDefault="0019049F" w:rsidP="0019049F">
            <w:pPr>
              <w:spacing w:line="200" w:lineRule="atLeast"/>
              <w:ind w:left="284" w:hanging="284"/>
              <w:rPr>
                <w:color w:val="262626"/>
                <w:sz w:val="16"/>
              </w:rPr>
            </w:pPr>
            <w:r w:rsidRPr="00557AE4">
              <w:rPr>
                <w:color w:val="262626"/>
                <w:sz w:val="16"/>
              </w:rPr>
              <w:t>-</w:t>
            </w:r>
            <w:r w:rsidRPr="00557AE4">
              <w:rPr>
                <w:color w:val="262626"/>
                <w:sz w:val="16"/>
              </w:rPr>
              <w:tab/>
              <w:t>Medewerker sub-administratie (F.5.2)</w:t>
            </w:r>
          </w:p>
          <w:p w:rsidR="0019049F" w:rsidRPr="00B67509" w:rsidRDefault="0019049F" w:rsidP="0019049F">
            <w:pPr>
              <w:spacing w:line="200" w:lineRule="atLeast"/>
              <w:ind w:left="284" w:hanging="284"/>
              <w:rPr>
                <w:sz w:val="16"/>
              </w:rPr>
            </w:pPr>
          </w:p>
        </w:tc>
        <w:tc>
          <w:tcPr>
            <w:tcW w:w="4914" w:type="dxa"/>
            <w:tcBorders>
              <w:bottom w:val="single" w:sz="4" w:space="0" w:color="auto"/>
            </w:tcBorders>
            <w:shd w:val="clear" w:color="auto" w:fill="D9D9D9"/>
            <w:tcMar>
              <w:top w:w="113" w:type="dxa"/>
              <w:bottom w:w="113" w:type="dxa"/>
            </w:tcMar>
          </w:tcPr>
          <w:p w:rsidR="0019049F" w:rsidRPr="00AC4386" w:rsidRDefault="0019049F" w:rsidP="0019049F">
            <w:pPr>
              <w:spacing w:line="200" w:lineRule="atLeast"/>
              <w:ind w:left="284" w:hanging="284"/>
              <w:jc w:val="center"/>
              <w:rPr>
                <w:sz w:val="16"/>
              </w:rPr>
            </w:pPr>
            <w:r w:rsidRPr="00AC4386">
              <w:rPr>
                <w:sz w:val="16"/>
              </w:rPr>
              <w:t>Dit niveau is omschreve</w:t>
            </w:r>
            <w:r>
              <w:rPr>
                <w:sz w:val="16"/>
              </w:rPr>
              <w:t>n in de referentiefunctie F.6.II</w:t>
            </w:r>
          </w:p>
          <w:p w:rsidR="0019049F" w:rsidRPr="00AC4386" w:rsidRDefault="0019049F" w:rsidP="0019049F">
            <w:pPr>
              <w:spacing w:line="200" w:lineRule="atLeast"/>
              <w:ind w:left="284" w:hanging="284"/>
              <w:jc w:val="center"/>
              <w:rPr>
                <w:sz w:val="16"/>
              </w:rPr>
            </w:pPr>
          </w:p>
          <w:p w:rsidR="0019049F" w:rsidRPr="00AC4386" w:rsidRDefault="0019049F" w:rsidP="0019049F">
            <w:pPr>
              <w:spacing w:line="200" w:lineRule="atLeast"/>
              <w:ind w:left="284" w:hanging="284"/>
              <w:jc w:val="center"/>
              <w:rPr>
                <w:sz w:val="16"/>
              </w:rPr>
            </w:pPr>
            <w:r>
              <w:rPr>
                <w:sz w:val="16"/>
              </w:rPr>
              <w:t>MEDEWERKER DEBITEURENADMINISTRATIE</w:t>
            </w:r>
          </w:p>
        </w:tc>
        <w:tc>
          <w:tcPr>
            <w:tcW w:w="4914" w:type="dxa"/>
            <w:vMerge w:val="restart"/>
            <w:tcMar>
              <w:top w:w="113" w:type="dxa"/>
              <w:bottom w:w="113" w:type="dxa"/>
            </w:tcMar>
          </w:tcPr>
          <w:p w:rsidR="0019049F" w:rsidRPr="00B67509" w:rsidRDefault="0019049F" w:rsidP="0019049F">
            <w:pPr>
              <w:spacing w:line="200" w:lineRule="atLeast"/>
              <w:rPr>
                <w:sz w:val="16"/>
              </w:rPr>
            </w:pPr>
            <w:r w:rsidRPr="00B67509">
              <w:rPr>
                <w:sz w:val="16"/>
              </w:rPr>
              <w:t>De bedrijfsfunctie heeft meer verantwoordelijkheden, doordat er sprake is van:</w:t>
            </w:r>
          </w:p>
          <w:p w:rsidR="0019049F" w:rsidRPr="00B67509" w:rsidRDefault="0019049F" w:rsidP="0019049F">
            <w:pPr>
              <w:spacing w:line="200" w:lineRule="atLeast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h</w:t>
            </w:r>
            <w:r w:rsidRPr="00B67509">
              <w:rPr>
                <w:sz w:val="16"/>
              </w:rPr>
              <w:t xml:space="preserve">et vooraf beoordelen van de kredietwaardigheid van klanten en het adviseren van sales t.a.v. te maken betaalafspraken of het zelf maken van afspraken (binnen geldende regelgeving) hierover </w:t>
            </w:r>
            <w:r>
              <w:rPr>
                <w:sz w:val="16"/>
              </w:rPr>
              <w:t>met (niet-strategische) klanten;</w:t>
            </w:r>
            <w:r w:rsidRPr="00B67509">
              <w:rPr>
                <w:sz w:val="16"/>
              </w:rPr>
              <w:t xml:space="preserve"> </w:t>
            </w:r>
          </w:p>
          <w:p w:rsidR="0019049F" w:rsidRPr="00B67509" w:rsidRDefault="0019049F" w:rsidP="0019049F">
            <w:pPr>
              <w:spacing w:line="200" w:lineRule="atLeast"/>
              <w:ind w:left="284" w:hanging="284"/>
              <w:rPr>
                <w:sz w:val="16"/>
              </w:rPr>
            </w:pPr>
            <w:r w:rsidRPr="00B67509">
              <w:rPr>
                <w:sz w:val="16"/>
              </w:rPr>
              <w:t>-</w:t>
            </w:r>
            <w:r w:rsidRPr="00B67509">
              <w:rPr>
                <w:sz w:val="16"/>
              </w:rPr>
              <w:tab/>
            </w:r>
            <w:r>
              <w:rPr>
                <w:sz w:val="16"/>
              </w:rPr>
              <w:t>de v</w:t>
            </w:r>
            <w:r w:rsidRPr="00B67509">
              <w:rPr>
                <w:sz w:val="16"/>
              </w:rPr>
              <w:t>olledig</w:t>
            </w:r>
            <w:r>
              <w:rPr>
                <w:sz w:val="16"/>
              </w:rPr>
              <w:t>e</w:t>
            </w:r>
            <w:r w:rsidRPr="00B67509">
              <w:rPr>
                <w:sz w:val="16"/>
              </w:rPr>
              <w:t xml:space="preserve"> inhoudelijke controle van facturen en een grote variatie in betaalafspraken, zodat er sprake is van een intensief contact met de </w:t>
            </w:r>
            <w:r>
              <w:rPr>
                <w:sz w:val="16"/>
              </w:rPr>
              <w:t>afdelingen sales, reserveringen en</w:t>
            </w:r>
            <w:r w:rsidRPr="00B67509">
              <w:rPr>
                <w:sz w:val="16"/>
              </w:rPr>
              <w:t xml:space="preserve"> frontoffice</w:t>
            </w:r>
            <w:r>
              <w:rPr>
                <w:sz w:val="16"/>
              </w:rPr>
              <w:t xml:space="preserve"> bij waargenomen verschillen;</w:t>
            </w:r>
          </w:p>
          <w:p w:rsidR="0019049F" w:rsidRPr="00B67509" w:rsidRDefault="0019049F" w:rsidP="0019049F">
            <w:pPr>
              <w:spacing w:line="200" w:lineRule="atLeast"/>
              <w:ind w:left="284" w:hanging="284"/>
              <w:rPr>
                <w:sz w:val="16"/>
              </w:rPr>
            </w:pPr>
            <w:r w:rsidRPr="00B67509">
              <w:rPr>
                <w:sz w:val="16"/>
              </w:rPr>
              <w:t>-</w:t>
            </w:r>
            <w:r w:rsidRPr="00B67509">
              <w:rPr>
                <w:sz w:val="16"/>
              </w:rPr>
              <w:tab/>
            </w:r>
            <w:r>
              <w:rPr>
                <w:sz w:val="16"/>
              </w:rPr>
              <w:t>de veelheid van verzamel</w:t>
            </w:r>
            <w:r w:rsidRPr="00B67509">
              <w:rPr>
                <w:sz w:val="16"/>
              </w:rPr>
              <w:t>facturen (op klantniveau), gespreide incasso/betalingen e.d.</w:t>
            </w:r>
            <w:r>
              <w:rPr>
                <w:sz w:val="16"/>
              </w:rPr>
              <w:t>;</w:t>
            </w:r>
          </w:p>
          <w:p w:rsidR="0019049F" w:rsidRPr="001028F9" w:rsidRDefault="0019049F" w:rsidP="0019049F">
            <w:pPr>
              <w:spacing w:line="200" w:lineRule="atLeast"/>
              <w:ind w:left="284" w:hanging="284"/>
              <w:rPr>
                <w:sz w:val="16"/>
              </w:rPr>
            </w:pPr>
            <w:r w:rsidRPr="00B67509">
              <w:rPr>
                <w:sz w:val="16"/>
              </w:rPr>
              <w:t>-</w:t>
            </w:r>
            <w:r w:rsidRPr="00B67509">
              <w:rPr>
                <w:sz w:val="16"/>
              </w:rPr>
              <w:tab/>
            </w:r>
            <w:r>
              <w:rPr>
                <w:sz w:val="16"/>
              </w:rPr>
              <w:t>de v</w:t>
            </w:r>
            <w:r w:rsidRPr="00B67509">
              <w:rPr>
                <w:sz w:val="16"/>
              </w:rPr>
              <w:t xml:space="preserve">olledige afwikkeling van het minnelijke traject waarbij een </w:t>
            </w:r>
            <w:r w:rsidRPr="001028F9">
              <w:rPr>
                <w:sz w:val="16"/>
              </w:rPr>
              <w:t xml:space="preserve">mondelinge (normale eis t.a.v. woordkeus en stijlgebruik) en beperkte schriftelijke beheersing van enkele westerse talen (Duits, Engels, Frans), gegeven het </w:t>
            </w:r>
            <w:r>
              <w:rPr>
                <w:sz w:val="16"/>
              </w:rPr>
              <w:t>klantenbestand, noodzakelijk is;</w:t>
            </w:r>
          </w:p>
          <w:p w:rsidR="0019049F" w:rsidRDefault="0019049F" w:rsidP="0019049F">
            <w:pPr>
              <w:spacing w:line="200" w:lineRule="atLeast"/>
              <w:ind w:left="284" w:hanging="284"/>
              <w:rPr>
                <w:sz w:val="16"/>
              </w:rPr>
            </w:pPr>
            <w:r w:rsidRPr="001028F9">
              <w:rPr>
                <w:sz w:val="16"/>
              </w:rPr>
              <w:t>-</w:t>
            </w:r>
            <w:r w:rsidRPr="001028F9">
              <w:rPr>
                <w:sz w:val="16"/>
              </w:rPr>
              <w:tab/>
            </w:r>
            <w:r>
              <w:rPr>
                <w:sz w:val="16"/>
              </w:rPr>
              <w:t xml:space="preserve">een </w:t>
            </w:r>
            <w:r w:rsidRPr="001028F9">
              <w:rPr>
                <w:sz w:val="16"/>
              </w:rPr>
              <w:t>adviesrol naar sales/manager in geval van oninbare vorderingen en aanmaken en overdragen dossier aan incassobureau.</w:t>
            </w:r>
          </w:p>
          <w:p w:rsidR="0019049F" w:rsidRPr="00B67509" w:rsidRDefault="0019049F" w:rsidP="0019049F">
            <w:pPr>
              <w:spacing w:line="200" w:lineRule="atLeast"/>
              <w:ind w:left="308" w:hanging="256"/>
              <w:rPr>
                <w:sz w:val="16"/>
              </w:rPr>
            </w:pPr>
          </w:p>
        </w:tc>
      </w:tr>
      <w:tr w:rsidR="0019049F" w:rsidRPr="00B67509">
        <w:trPr>
          <w:trHeight w:val="1420"/>
        </w:trPr>
        <w:tc>
          <w:tcPr>
            <w:tcW w:w="4914" w:type="dxa"/>
            <w:vMerge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19049F" w:rsidRPr="00B67509" w:rsidRDefault="0019049F" w:rsidP="0019049F">
            <w:pPr>
              <w:spacing w:line="200" w:lineRule="atLeast"/>
              <w:rPr>
                <w:sz w:val="16"/>
              </w:rPr>
            </w:pPr>
          </w:p>
        </w:tc>
        <w:tc>
          <w:tcPr>
            <w:tcW w:w="4914" w:type="dxa"/>
            <w:tcBorders>
              <w:bottom w:val="single" w:sz="4" w:space="0" w:color="auto"/>
            </w:tcBorders>
            <w:shd w:val="clear" w:color="auto" w:fill="D9D9D9"/>
            <w:tcMar>
              <w:top w:w="113" w:type="dxa"/>
              <w:bottom w:w="113" w:type="dxa"/>
            </w:tcMar>
          </w:tcPr>
          <w:p w:rsidR="0019049F" w:rsidRPr="0035055A" w:rsidRDefault="0019049F" w:rsidP="0019049F">
            <w:pPr>
              <w:spacing w:line="200" w:lineRule="atLeast"/>
              <w:ind w:left="284" w:hanging="284"/>
              <w:rPr>
                <w:color w:val="262626"/>
                <w:sz w:val="16"/>
              </w:rPr>
            </w:pPr>
            <w:r w:rsidRPr="0035055A">
              <w:rPr>
                <w:color w:val="262626"/>
                <w:sz w:val="16"/>
              </w:rPr>
              <w:t>Referentiefunctie handboek 2002:</w:t>
            </w:r>
          </w:p>
          <w:p w:rsidR="0019049F" w:rsidRPr="0035055A" w:rsidRDefault="0019049F" w:rsidP="0019049F">
            <w:pPr>
              <w:spacing w:line="200" w:lineRule="atLeast"/>
              <w:ind w:left="284" w:hanging="284"/>
              <w:rPr>
                <w:sz w:val="16"/>
              </w:rPr>
            </w:pPr>
            <w:r w:rsidRPr="0035055A">
              <w:rPr>
                <w:color w:val="262626"/>
                <w:sz w:val="16"/>
              </w:rPr>
              <w:t>-</w:t>
            </w:r>
            <w:r w:rsidRPr="0035055A">
              <w:rPr>
                <w:color w:val="262626"/>
                <w:sz w:val="16"/>
              </w:rPr>
              <w:tab/>
              <w:t>Credit manager</w:t>
            </w:r>
            <w:r>
              <w:rPr>
                <w:color w:val="262626"/>
                <w:sz w:val="16"/>
              </w:rPr>
              <w:t xml:space="preserve"> (F.6.2)</w:t>
            </w:r>
          </w:p>
        </w:tc>
        <w:tc>
          <w:tcPr>
            <w:tcW w:w="4914" w:type="dxa"/>
            <w:vMerge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19049F" w:rsidRPr="00B67509" w:rsidRDefault="0019049F" w:rsidP="0019049F">
            <w:pPr>
              <w:spacing w:line="200" w:lineRule="atLeast"/>
              <w:rPr>
                <w:sz w:val="16"/>
              </w:rPr>
            </w:pPr>
          </w:p>
        </w:tc>
      </w:tr>
      <w:tr w:rsidR="0019049F" w:rsidRPr="00B67509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4914" w:type="dxa"/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19049F" w:rsidRPr="00B67509" w:rsidRDefault="0019049F" w:rsidP="0019049F">
            <w:pPr>
              <w:spacing w:line="220" w:lineRule="atLeast"/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5</w:t>
            </w:r>
          </w:p>
        </w:tc>
        <w:tc>
          <w:tcPr>
            <w:tcW w:w="4914" w:type="dxa"/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19049F" w:rsidRPr="00B67509" w:rsidRDefault="0019049F" w:rsidP="0019049F">
            <w:pPr>
              <w:spacing w:line="220" w:lineRule="atLeast"/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6 (referentie)</w:t>
            </w:r>
          </w:p>
        </w:tc>
        <w:tc>
          <w:tcPr>
            <w:tcW w:w="4914" w:type="dxa"/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19049F" w:rsidRPr="00B67509" w:rsidRDefault="0019049F" w:rsidP="0019049F">
            <w:pPr>
              <w:spacing w:line="220" w:lineRule="atLeast"/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7</w:t>
            </w:r>
          </w:p>
        </w:tc>
      </w:tr>
    </w:tbl>
    <w:p w:rsidR="0019049F" w:rsidRPr="001073D2" w:rsidRDefault="0019049F" w:rsidP="0019049F">
      <w:pPr>
        <w:spacing w:line="220" w:lineRule="atLeast"/>
      </w:pPr>
    </w:p>
    <w:sectPr w:rsidR="0019049F" w:rsidRPr="001073D2" w:rsidSect="001904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/>
      <w:pgMar w:top="1701" w:right="1134" w:bottom="1134" w:left="1134" w:header="1418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591" w:rsidRDefault="00811323" w:rsidP="001073D2">
      <w:pPr>
        <w:spacing w:line="240" w:lineRule="auto"/>
      </w:pPr>
      <w:r>
        <w:separator/>
      </w:r>
    </w:p>
  </w:endnote>
  <w:endnote w:type="continuationSeparator" w:id="0">
    <w:p w:rsidR="00E65591" w:rsidRDefault="00811323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D5E" w:rsidRDefault="00147D5E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49F" w:rsidRPr="00147D5E" w:rsidRDefault="0019049F" w:rsidP="00147D5E">
    <w:pPr>
      <w:pStyle w:val="Voettekst"/>
    </w:pPr>
    <w:bookmarkStart w:id="0" w:name="_GoBack"/>
    <w:bookmarkEnd w:id="0"/>
    <w:r w:rsidRPr="00147D5E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D5E" w:rsidRDefault="00147D5E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591" w:rsidRDefault="00811323" w:rsidP="001073D2">
      <w:pPr>
        <w:spacing w:line="240" w:lineRule="auto"/>
      </w:pPr>
      <w:r>
        <w:separator/>
      </w:r>
    </w:p>
  </w:footnote>
  <w:footnote w:type="continuationSeparator" w:id="0">
    <w:p w:rsidR="00E65591" w:rsidRDefault="00811323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D5E" w:rsidRDefault="00147D5E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49F" w:rsidRPr="004B5A50" w:rsidRDefault="0019049F" w:rsidP="0019049F">
    <w:pPr>
      <w:pStyle w:val="Koptekst"/>
      <w:tabs>
        <w:tab w:val="clear" w:pos="8306"/>
        <w:tab w:val="right" w:pos="14601"/>
      </w:tabs>
      <w:ind w:right="0"/>
      <w:jc w:val="left"/>
    </w:pPr>
    <w:r w:rsidRPr="004B5A50">
      <w:rPr>
        <w:lang w:eastAsia="nl-NL"/>
      </w:rPr>
      <w:t xml:space="preserve">Indelingshulpmiddel bij meer of minder verantwoordelijkheden dan de referentiefunctie: </w:t>
    </w:r>
    <w:r>
      <w:rPr>
        <w:lang w:eastAsia="nl-NL"/>
      </w:rPr>
      <w:t>Medewerker debiteurenadministratie</w:t>
    </w:r>
    <w:r w:rsidRPr="004B5A50">
      <w:rPr>
        <w:caps/>
        <w:lang w:eastAsia="nl-NL"/>
      </w:rPr>
      <w:tab/>
    </w:r>
    <w:r w:rsidRPr="004B5A50">
      <w:rPr>
        <w:lang w:eastAsia="nl-NL"/>
      </w:rPr>
      <w:t>F</w:t>
    </w:r>
    <w:r>
      <w:rPr>
        <w:lang w:eastAsia="nl-NL"/>
      </w:rPr>
      <w:t>unctienummer:  F.6.II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D5E" w:rsidRDefault="00147D5E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611FE"/>
    <w:multiLevelType w:val="hybridMultilevel"/>
    <w:tmpl w:val="0BD8C79A"/>
    <w:lvl w:ilvl="0" w:tplc="A52627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74271D"/>
    <w:multiLevelType w:val="hybridMultilevel"/>
    <w:tmpl w:val="AF783032"/>
    <w:lvl w:ilvl="0" w:tplc="D75039E0">
      <w:start w:val="2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D57169"/>
    <w:rsid w:val="00147D5E"/>
    <w:rsid w:val="0019049F"/>
    <w:rsid w:val="00811323"/>
    <w:rsid w:val="00D57169"/>
    <w:rsid w:val="00E655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ard">
    <w:name w:val="Normal"/>
    <w:qFormat/>
    <w:rsid w:val="00695FE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063403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1869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RESULTAATPROFIEL</vt:lpstr>
      <vt:lpstr>RESULTAATPROFIEL</vt:lpstr>
    </vt:vector>
  </TitlesOfParts>
  <Company>EVZ Organisatie-adviseurs</Company>
  <LinksUpToDate>false</LinksUpToDate>
  <CharactersWithSpaces>2136</CharactersWithSpaces>
  <SharedDoc>false</SharedDoc>
  <HLinks>
    <vt:vector size="6" baseType="variant">
      <vt:variant>
        <vt:i4>3997786</vt:i4>
      </vt:variant>
      <vt:variant>
        <vt:i4>-1</vt:i4>
      </vt:variant>
      <vt:variant>
        <vt:i4>2049</vt:i4>
      </vt:variant>
      <vt:variant>
        <vt:i4>1</vt:i4>
      </vt:variant>
      <vt:variant>
        <vt:lpwstr>EVZ-logo-FC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RESULTAATPROFIEL</dc:title>
  <dc:subject/>
  <dc:creator>EVZ02</dc:creator>
  <cp:keywords/>
  <cp:lastModifiedBy>Wendy Terlouw</cp:lastModifiedBy>
  <cp:revision>3</cp:revision>
  <cp:lastPrinted>2011-03-22T08:02:00Z</cp:lastPrinted>
  <dcterms:created xsi:type="dcterms:W3CDTF">2011-07-21T15:49:00Z</dcterms:created>
  <dcterms:modified xsi:type="dcterms:W3CDTF">2012-06-06T12:41:00Z</dcterms:modified>
</cp:coreProperties>
</file>