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8"/>
        <w:gridCol w:w="810"/>
        <w:gridCol w:w="5630"/>
        <w:gridCol w:w="5630"/>
        <w:gridCol w:w="871"/>
      </w:tblGrid>
      <w:tr w:rsidR="004D09C5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875D5" w:rsidRPr="006925C7" w:rsidRDefault="005875D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administratief medewerker I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administratief medewerker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40D5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Typering bijdragen</w:t>
            </w:r>
          </w:p>
          <w:p w:rsidR="004D09C5" w:rsidRPr="00521AE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4D09C5" w:rsidRPr="004C3EC4" w:rsidRDefault="004D09C5" w:rsidP="004D09C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>
              <w:rPr>
                <w:sz w:val="16"/>
              </w:rPr>
              <w:t>Geen referentie: beperkt tot invoeren van gegevens</w:t>
            </w:r>
          </w:p>
        </w:tc>
        <w:tc>
          <w:tcPr>
            <w:tcW w:w="5630" w:type="dxa"/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G</w:t>
            </w:r>
            <w:r w:rsidRPr="00597433">
              <w:rPr>
                <w:sz w:val="16"/>
              </w:rPr>
              <w:t>ericht op algemene administratieve ondersteuning van de afdeling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</w:t>
            </w:r>
            <w:r w:rsidRPr="00597433">
              <w:rPr>
                <w:sz w:val="16"/>
              </w:rPr>
              <w:t>eperkt afgebakend takenpakket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R</w:t>
            </w:r>
            <w:r w:rsidRPr="00597433">
              <w:rPr>
                <w:sz w:val="16"/>
              </w:rPr>
              <w:t>epeterende en overzichtelijke taken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O</w:t>
            </w:r>
            <w:r w:rsidRPr="00597433">
              <w:rPr>
                <w:sz w:val="16"/>
              </w:rPr>
              <w:t>vernemen van aangereikt gekregen gegevens in bestanden/systemen.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G</w:t>
            </w:r>
            <w:r w:rsidRPr="00597433">
              <w:rPr>
                <w:sz w:val="16"/>
              </w:rPr>
              <w:t>ericht op licht financieel administratieve taken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</w:t>
            </w:r>
            <w:r w:rsidRPr="00597433">
              <w:rPr>
                <w:sz w:val="16"/>
              </w:rPr>
              <w:t>reed eigen takenpakket, waaronder bijvoorbeeld ook bijhouden/muteren personeelsdossiers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4B3761">
              <w:rPr>
                <w:sz w:val="16"/>
              </w:rPr>
              <w:t>R</w:t>
            </w:r>
            <w:r w:rsidR="004B3761" w:rsidRPr="00597433">
              <w:rPr>
                <w:sz w:val="16"/>
              </w:rPr>
              <w:t>epeterende en overzichtelijke taken</w:t>
            </w:r>
            <w:r w:rsidR="004B3761">
              <w:rPr>
                <w:sz w:val="16"/>
              </w:rPr>
              <w:t>.</w:t>
            </w:r>
          </w:p>
          <w:p w:rsidR="004B3761" w:rsidRPr="00597433" w:rsidRDefault="004B3761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envoudige voor- of nabewerkinge</w:t>
            </w:r>
            <w:r>
              <w:rPr>
                <w:sz w:val="16"/>
              </w:rPr>
              <w:t>n.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4D09C5" w:rsidRPr="004C3EC4" w:rsidRDefault="004D09C5" w:rsidP="004D09C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functieomschrijving en </w:t>
            </w:r>
            <w:r w:rsidRPr="00340D5C">
              <w:rPr>
                <w:sz w:val="16"/>
              </w:rPr>
              <w:t xml:space="preserve">NOK-bijlage </w:t>
            </w:r>
            <w:r>
              <w:rPr>
                <w:sz w:val="16"/>
              </w:rPr>
              <w:br/>
              <w:t>M</w:t>
            </w:r>
            <w:r w:rsidRPr="00340D5C">
              <w:rPr>
                <w:sz w:val="16"/>
              </w:rPr>
              <w:t>edewerker financiële administratie.</w:t>
            </w: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40D5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Aard en moeilijkheid controles</w:t>
            </w:r>
          </w:p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E</w:t>
            </w:r>
            <w:r w:rsidRPr="00597433">
              <w:rPr>
                <w:sz w:val="16"/>
              </w:rPr>
              <w:t>én op één vergelijken van gegevens/cijfers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 w:rsidRPr="00597433">
              <w:rPr>
                <w:sz w:val="16"/>
              </w:rPr>
              <w:t>fwijkingen zijn eenduidig waarneembaar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V</w:t>
            </w:r>
            <w:r w:rsidRPr="00597433">
              <w:rPr>
                <w:sz w:val="16"/>
              </w:rPr>
              <w:t>erschillen worden gesignaleerd, zonder er conclusies aan te verbinden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597433">
              <w:rPr>
                <w:sz w:val="16"/>
              </w:rPr>
              <w:t>oet weten wat waarmee vergeleken moet worden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C</w:t>
            </w:r>
            <w:r w:rsidRPr="00597433">
              <w:rPr>
                <w:sz w:val="16"/>
              </w:rPr>
              <w:t>ontroles (vaststelling afwijking) vragen ook om eenvoudige bewerking (samenvoeging/splitsing) van gegevens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</w:t>
            </w:r>
            <w:r w:rsidRPr="00597433">
              <w:rPr>
                <w:sz w:val="16"/>
              </w:rPr>
              <w:t xml:space="preserve">ij verschillen vindt, op basis van eigen conclusies, navraag plaats bij degene die de informatie heeft aangereikt. Afstemming betreft het uitwisselen van feiten.  </w:t>
            </w:r>
          </w:p>
          <w:p w:rsidR="004D09C5" w:rsidRPr="00597433" w:rsidRDefault="004D09C5" w:rsidP="004D09C5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i/>
                <w:sz w:val="16"/>
              </w:rPr>
            </w:pP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Kennis en ervaring</w:t>
            </w: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MBO niveau 2 werk- en denkniveau (g</w:t>
            </w:r>
            <w:r w:rsidRPr="00597433">
              <w:rPr>
                <w:sz w:val="16"/>
              </w:rPr>
              <w:t>een specifieke administratieve basiskennis noodzakelijk</w:t>
            </w:r>
            <w:r>
              <w:rPr>
                <w:sz w:val="16"/>
              </w:rPr>
              <w:t>).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Ke</w:t>
            </w:r>
            <w:r w:rsidRPr="00597433">
              <w:rPr>
                <w:sz w:val="16"/>
              </w:rPr>
              <w:t xml:space="preserve">nnis van en ervaring met Excel en overige </w:t>
            </w:r>
            <w:r>
              <w:rPr>
                <w:sz w:val="16"/>
              </w:rPr>
              <w:t>O</w:t>
            </w:r>
            <w:r w:rsidRPr="00597433">
              <w:rPr>
                <w:sz w:val="16"/>
              </w:rPr>
              <w:t>fficeprogramma’s.</w:t>
            </w:r>
          </w:p>
          <w:p w:rsidR="004D09C5" w:rsidRPr="00597433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MBO </w:t>
            </w:r>
            <w:r>
              <w:rPr>
                <w:sz w:val="16"/>
              </w:rPr>
              <w:t xml:space="preserve">niveau </w:t>
            </w:r>
            <w:r w:rsidRPr="00597433">
              <w:rPr>
                <w:sz w:val="16"/>
              </w:rPr>
              <w:t>2</w:t>
            </w:r>
            <w:r>
              <w:rPr>
                <w:sz w:val="16"/>
              </w:rPr>
              <w:t xml:space="preserve"> - 3 werk- en denk</w:t>
            </w:r>
            <w:r w:rsidRPr="00597433">
              <w:rPr>
                <w:sz w:val="16"/>
              </w:rPr>
              <w:t>niveau</w:t>
            </w:r>
            <w:r>
              <w:rPr>
                <w:sz w:val="16"/>
              </w:rPr>
              <w:t xml:space="preserve"> (b</w:t>
            </w:r>
            <w:r w:rsidRPr="00597433">
              <w:rPr>
                <w:sz w:val="16"/>
              </w:rPr>
              <w:t>asiskennis van financiële administratie</w:t>
            </w:r>
            <w:r>
              <w:rPr>
                <w:sz w:val="16"/>
              </w:rPr>
              <w:t>).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P</w:t>
            </w:r>
            <w:r w:rsidRPr="00597433">
              <w:rPr>
                <w:sz w:val="16"/>
              </w:rPr>
              <w:t>raktisch inzicht in de opbouw en werking van de gehanteerde applicaties.</w:t>
            </w:r>
          </w:p>
          <w:p w:rsidR="004D09C5" w:rsidRPr="00597433" w:rsidRDefault="004D09C5" w:rsidP="004D09C5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i/>
                <w:sz w:val="16"/>
              </w:rPr>
            </w:pPr>
          </w:p>
        </w:tc>
      </w:tr>
      <w:tr w:rsidR="004D09C5" w:rsidRPr="004C3EC4">
        <w:tc>
          <w:tcPr>
            <w:tcW w:w="2368" w:type="dxa"/>
          </w:tcPr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4D09C5" w:rsidRPr="003212FD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D5272E">
              <w:rPr>
                <w:sz w:val="16"/>
              </w:rPr>
              <w:t>-</w:t>
            </w:r>
            <w:r w:rsidRPr="00D5272E">
              <w:rPr>
                <w:sz w:val="16"/>
              </w:rPr>
              <w:tab/>
              <w:t>Administratief assistent (F.3.1)</w:t>
            </w:r>
          </w:p>
          <w:p w:rsidR="004D09C5" w:rsidRPr="003212FD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4D09C5" w:rsidRPr="00D5272E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  <w:r w:rsidRPr="00D5272E">
              <w:rPr>
                <w:sz w:val="16"/>
              </w:rPr>
              <w:t>-</w:t>
            </w:r>
            <w:r w:rsidRPr="00D5272E">
              <w:rPr>
                <w:sz w:val="16"/>
              </w:rPr>
              <w:tab/>
              <w:t>Administratief medewerker (F.4.1)</w:t>
            </w:r>
          </w:p>
          <w:p w:rsidR="004D09C5" w:rsidRPr="00D5272E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  <w:r w:rsidRPr="00D5272E">
              <w:rPr>
                <w:sz w:val="16"/>
              </w:rPr>
              <w:t>-</w:t>
            </w:r>
            <w:r w:rsidRPr="00D5272E">
              <w:rPr>
                <w:sz w:val="16"/>
              </w:rPr>
              <w:tab/>
            </w:r>
            <w:proofErr w:type="spellStart"/>
            <w:r w:rsidRPr="00D5272E">
              <w:rPr>
                <w:sz w:val="16"/>
              </w:rPr>
              <w:t>Income</w:t>
            </w:r>
            <w:proofErr w:type="spellEnd"/>
            <w:r w:rsidRPr="00D5272E">
              <w:rPr>
                <w:sz w:val="16"/>
              </w:rPr>
              <w:t xml:space="preserve"> auditor</w:t>
            </w:r>
            <w:r>
              <w:rPr>
                <w:sz w:val="16"/>
              </w:rPr>
              <w:t xml:space="preserve"> (F.4.2)</w:t>
            </w:r>
          </w:p>
          <w:p w:rsidR="004D09C5" w:rsidRPr="003212FD" w:rsidRDefault="004D09C5" w:rsidP="004D09C5">
            <w:pPr>
              <w:spacing w:line="160" w:lineRule="atLeast"/>
              <w:ind w:left="176" w:hanging="176"/>
              <w:rPr>
                <w:sz w:val="16"/>
                <w:highlight w:val="yellow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sz w:val="16"/>
              </w:rPr>
            </w:pPr>
          </w:p>
        </w:tc>
      </w:tr>
      <w:tr w:rsidR="004D09C5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</w:tr>
    </w:tbl>
    <w:p w:rsidR="004D09C5" w:rsidRPr="00713988" w:rsidRDefault="004D09C5" w:rsidP="004D09C5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4D09C5" w:rsidRPr="00713988" w:rsidSect="004D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D5" w:rsidRDefault="005875D5" w:rsidP="001073D2">
      <w:pPr>
        <w:spacing w:line="240" w:lineRule="auto"/>
      </w:pPr>
      <w:r>
        <w:separator/>
      </w:r>
    </w:p>
  </w:endnote>
  <w:endnote w:type="continuationSeparator" w:id="0">
    <w:p w:rsidR="005875D5" w:rsidRDefault="005875D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A235D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C5" w:rsidRPr="00A235D3" w:rsidRDefault="004D09C5" w:rsidP="00A235D3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A235D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D5" w:rsidRDefault="005875D5" w:rsidP="001073D2">
      <w:pPr>
        <w:spacing w:line="240" w:lineRule="auto"/>
      </w:pPr>
      <w:r>
        <w:separator/>
      </w:r>
    </w:p>
  </w:footnote>
  <w:footnote w:type="continuationSeparator" w:id="0">
    <w:p w:rsidR="005875D5" w:rsidRDefault="005875D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A235D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C5" w:rsidRPr="00A235D3" w:rsidRDefault="004D09C5" w:rsidP="004D09C5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Administratief medewerker</w:t>
    </w:r>
    <w:r w:rsidRPr="00BD520D">
      <w:rPr>
        <w:caps/>
        <w:color w:val="404040"/>
      </w:rPr>
      <w:tab/>
    </w:r>
    <w:r>
      <w:rPr>
        <w:color w:val="404040"/>
      </w:rPr>
      <w:t>Functienummer:  F.4.I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A235D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212FD"/>
    <w:rsid w:val="000D39DA"/>
    <w:rsid w:val="002C6396"/>
    <w:rsid w:val="003212FD"/>
    <w:rsid w:val="004B3761"/>
    <w:rsid w:val="004D09C5"/>
    <w:rsid w:val="005875D5"/>
    <w:rsid w:val="00A235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2011-03-22T07:46:00Z</cp:lastPrinted>
  <dcterms:created xsi:type="dcterms:W3CDTF">2011-07-21T15:49:00Z</dcterms:created>
  <dcterms:modified xsi:type="dcterms:W3CDTF">2012-06-06T12:40:00Z</dcterms:modified>
</cp:coreProperties>
</file>