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4914"/>
        <w:gridCol w:w="4914"/>
        <w:gridCol w:w="4914"/>
      </w:tblGrid>
      <w:tr w:rsidR="00DE76DA" w:rsidRPr="00B67509">
        <w:trPr>
          <w:trHeight w:val="284"/>
        </w:trPr>
        <w:tc>
          <w:tcPr>
            <w:tcW w:w="4914" w:type="dxa"/>
            <w:tcBorders>
              <w:bottom w:val="single" w:sz="4" w:space="0" w:color="auto"/>
            </w:tcBorders>
            <w:shd w:val="clear" w:color="auto" w:fill="B80526"/>
            <w:tcMar>
              <w:top w:w="28" w:type="dxa"/>
              <w:bottom w:w="28" w:type="dxa"/>
            </w:tcMar>
            <w:vAlign w:val="center"/>
          </w:tcPr>
          <w:p w:rsidR="00047EC4" w:rsidRPr="00B67509" w:rsidRDefault="00047EC4" w:rsidP="00DE76DA">
            <w:pPr>
              <w:spacing w:line="220" w:lineRule="atLeast"/>
              <w:jc w:val="center"/>
              <w:rPr>
                <w:b/>
                <w:color w:val="FFFFFF"/>
                <w:sz w:val="18"/>
              </w:rPr>
            </w:pPr>
            <w:r>
              <w:rPr>
                <w:b/>
                <w:color w:val="FFFFFF"/>
                <w:sz w:val="18"/>
              </w:rPr>
              <w:t xml:space="preserve">-  </w:t>
            </w:r>
            <w:r w:rsidRPr="00B67509">
              <w:rPr>
                <w:b/>
                <w:color w:val="FFFFFF"/>
                <w:sz w:val="18"/>
              </w:rPr>
              <w:t>VARIANT</w:t>
            </w:r>
          </w:p>
        </w:tc>
        <w:tc>
          <w:tcPr>
            <w:tcW w:w="4914" w:type="dxa"/>
            <w:shd w:val="clear" w:color="auto" w:fill="B80526"/>
            <w:tcMar>
              <w:top w:w="28" w:type="dxa"/>
              <w:bottom w:w="28" w:type="dxa"/>
            </w:tcMar>
            <w:vAlign w:val="center"/>
          </w:tcPr>
          <w:p w:rsidR="00DE76DA" w:rsidRPr="00A9384C" w:rsidRDefault="00DE76DA" w:rsidP="00DE76DA">
            <w:pPr>
              <w:spacing w:line="220" w:lineRule="atLeast"/>
              <w:jc w:val="center"/>
              <w:rPr>
                <w:b/>
                <w:caps/>
                <w:color w:val="FFFFFF"/>
                <w:sz w:val="18"/>
              </w:rPr>
            </w:pPr>
            <w:r>
              <w:rPr>
                <w:b/>
                <w:caps/>
                <w:color w:val="FFFFFF"/>
                <w:sz w:val="18"/>
              </w:rPr>
              <w:t>Medewerker marketing &amp; communicatie</w:t>
            </w:r>
          </w:p>
        </w:tc>
        <w:tc>
          <w:tcPr>
            <w:tcW w:w="4914" w:type="dxa"/>
            <w:shd w:val="clear" w:color="auto" w:fill="B80526"/>
            <w:tcMar>
              <w:top w:w="28" w:type="dxa"/>
              <w:bottom w:w="28" w:type="dxa"/>
            </w:tcMar>
            <w:vAlign w:val="center"/>
          </w:tcPr>
          <w:p w:rsidR="00DE76DA" w:rsidRPr="00B67509" w:rsidRDefault="00DE76DA" w:rsidP="00DE76DA">
            <w:pPr>
              <w:spacing w:line="220" w:lineRule="atLeast"/>
              <w:jc w:val="center"/>
              <w:rPr>
                <w:b/>
                <w:color w:val="FFFFFF"/>
                <w:sz w:val="18"/>
              </w:rPr>
            </w:pPr>
            <w:r w:rsidRPr="00B67509">
              <w:rPr>
                <w:b/>
                <w:color w:val="FFFFFF"/>
                <w:sz w:val="18"/>
              </w:rPr>
              <w:t>+  VARIANT</w:t>
            </w:r>
          </w:p>
        </w:tc>
      </w:tr>
      <w:tr w:rsidR="00DE76DA" w:rsidRPr="00B67509">
        <w:trPr>
          <w:trHeight w:val="2286"/>
        </w:trPr>
        <w:tc>
          <w:tcPr>
            <w:tcW w:w="4914" w:type="dxa"/>
            <w:vMerge w:val="restart"/>
            <w:tcBorders>
              <w:top w:val="single" w:sz="4" w:space="0" w:color="auto"/>
            </w:tcBorders>
            <w:tcMar>
              <w:top w:w="113" w:type="dxa"/>
              <w:bottom w:w="113" w:type="dxa"/>
            </w:tcMar>
          </w:tcPr>
          <w:p w:rsidR="00DE76DA" w:rsidRDefault="00DE76DA" w:rsidP="00DE76DA">
            <w:pPr>
              <w:spacing w:line="200" w:lineRule="atLeast"/>
              <w:rPr>
                <w:sz w:val="16"/>
              </w:rPr>
            </w:pPr>
            <w:r w:rsidRPr="00B67509">
              <w:rPr>
                <w:sz w:val="16"/>
              </w:rPr>
              <w:t>Als de bedrijfsfunctie minder verantwoordelijkheden heeft, zoals</w:t>
            </w:r>
            <w:r>
              <w:rPr>
                <w:sz w:val="16"/>
              </w:rPr>
              <w:t xml:space="preserve"> wanneer de functie een meer operationeel karakter kent en er sprake is van een inhoudelijk leidinggevende met een specialistische focus sec op marketing en communicatie. Met andere woorden, wanneer de medewerker marketing en communicatie </w:t>
            </w:r>
            <w:r w:rsidRPr="006414AD">
              <w:rPr>
                <w:sz w:val="16"/>
                <w:u w:val="single"/>
              </w:rPr>
              <w:t>niet</w:t>
            </w:r>
            <w:r>
              <w:rPr>
                <w:sz w:val="16"/>
              </w:rPr>
              <w:t xml:space="preserve"> verantwoordelijk is voor:</w:t>
            </w:r>
          </w:p>
          <w:p w:rsidR="00DE76DA" w:rsidRDefault="00DE76DA" w:rsidP="00DE76DA">
            <w:pPr>
              <w:spacing w:line="200" w:lineRule="atLeast"/>
              <w:ind w:left="284" w:hanging="284"/>
              <w:rPr>
                <w:sz w:val="16"/>
              </w:rPr>
            </w:pPr>
            <w:r>
              <w:rPr>
                <w:sz w:val="16"/>
              </w:rPr>
              <w:t>-</w:t>
            </w:r>
            <w:r>
              <w:rPr>
                <w:sz w:val="16"/>
              </w:rPr>
              <w:tab/>
              <w:t xml:space="preserve">het aangaan en onderhouden van perscontacten, opvolgen van mediaberichtgeving en zoeken naar en vormgeven van free </w:t>
            </w:r>
            <w:proofErr w:type="spellStart"/>
            <w:r>
              <w:rPr>
                <w:sz w:val="16"/>
              </w:rPr>
              <w:t>pu</w:t>
            </w:r>
            <w:r w:rsidR="00A63C25">
              <w:rPr>
                <w:sz w:val="16"/>
              </w:rPr>
              <w:t>blicity</w:t>
            </w:r>
            <w:r>
              <w:rPr>
                <w:sz w:val="16"/>
              </w:rPr>
              <w:t>kansen</w:t>
            </w:r>
            <w:proofErr w:type="spellEnd"/>
            <w:r>
              <w:rPr>
                <w:sz w:val="16"/>
              </w:rPr>
              <w:t>;</w:t>
            </w:r>
          </w:p>
          <w:p w:rsidR="00DE76DA" w:rsidRDefault="00DE76DA" w:rsidP="00DE76DA">
            <w:pPr>
              <w:spacing w:line="200" w:lineRule="atLeast"/>
              <w:ind w:left="284" w:hanging="284"/>
              <w:rPr>
                <w:sz w:val="16"/>
              </w:rPr>
            </w:pPr>
            <w:r>
              <w:rPr>
                <w:sz w:val="16"/>
              </w:rPr>
              <w:t>-</w:t>
            </w:r>
            <w:r>
              <w:rPr>
                <w:sz w:val="16"/>
              </w:rPr>
              <w:tab/>
              <w:t xml:space="preserve">het </w:t>
            </w:r>
            <w:r w:rsidRPr="00BF2905">
              <w:rPr>
                <w:sz w:val="16"/>
              </w:rPr>
              <w:t>voorbereiden, organiseren en regelen van de uitvoering van niet-routinematige publiekstrekkende evenementen;</w:t>
            </w:r>
          </w:p>
          <w:p w:rsidR="00DE76DA" w:rsidRDefault="00DE76DA" w:rsidP="00DE76DA">
            <w:pPr>
              <w:spacing w:line="200" w:lineRule="atLeast"/>
              <w:ind w:left="284" w:hanging="284"/>
              <w:rPr>
                <w:sz w:val="16"/>
              </w:rPr>
            </w:pPr>
            <w:r>
              <w:rPr>
                <w:sz w:val="16"/>
              </w:rPr>
              <w:t>-</w:t>
            </w:r>
            <w:r>
              <w:rPr>
                <w:sz w:val="16"/>
              </w:rPr>
              <w:tab/>
              <w:t>het leveren van een bijdrage</w:t>
            </w:r>
            <w:r w:rsidRPr="00B67509">
              <w:rPr>
                <w:sz w:val="16"/>
              </w:rPr>
              <w:t xml:space="preserve"> aan het ontwikkelen of bijstellen van nieuwe producten en diensten (input aangaande marketing- &amp; communicatiebeleid).</w:t>
            </w:r>
          </w:p>
          <w:p w:rsidR="00DE76DA" w:rsidRDefault="00DE76DA" w:rsidP="00DE76DA">
            <w:pPr>
              <w:spacing w:line="200" w:lineRule="atLeast"/>
              <w:ind w:left="284" w:hanging="284"/>
              <w:rPr>
                <w:sz w:val="16"/>
              </w:rPr>
            </w:pPr>
          </w:p>
          <w:p w:rsidR="00DE76DA" w:rsidRPr="00B67509" w:rsidRDefault="00DE76DA" w:rsidP="00DE76DA">
            <w:pPr>
              <w:spacing w:line="200" w:lineRule="atLeast"/>
              <w:ind w:left="284" w:hanging="284"/>
              <w:rPr>
                <w:sz w:val="16"/>
              </w:rPr>
            </w:pPr>
          </w:p>
        </w:tc>
        <w:tc>
          <w:tcPr>
            <w:tcW w:w="4914" w:type="dxa"/>
            <w:tcBorders>
              <w:bottom w:val="single" w:sz="4" w:space="0" w:color="auto"/>
            </w:tcBorders>
            <w:shd w:val="clear" w:color="auto" w:fill="D9D9D9"/>
            <w:tcMar>
              <w:top w:w="113" w:type="dxa"/>
              <w:bottom w:w="113" w:type="dxa"/>
            </w:tcMar>
          </w:tcPr>
          <w:p w:rsidR="00DE76DA" w:rsidRPr="00AC4386" w:rsidRDefault="00DE76DA" w:rsidP="00DE76DA">
            <w:pPr>
              <w:spacing w:line="200" w:lineRule="atLeast"/>
              <w:ind w:left="284" w:hanging="284"/>
              <w:jc w:val="center"/>
              <w:rPr>
                <w:sz w:val="16"/>
              </w:rPr>
            </w:pPr>
            <w:r w:rsidRPr="00AC4386">
              <w:rPr>
                <w:sz w:val="16"/>
              </w:rPr>
              <w:t>Dit niveau is omschreve</w:t>
            </w:r>
            <w:r>
              <w:rPr>
                <w:sz w:val="16"/>
              </w:rPr>
              <w:t>n in de referentiefunctie C.8.I</w:t>
            </w:r>
          </w:p>
          <w:p w:rsidR="00DE76DA" w:rsidRPr="00AC4386" w:rsidRDefault="00DE76DA" w:rsidP="00DE76DA">
            <w:pPr>
              <w:spacing w:line="200" w:lineRule="atLeast"/>
              <w:ind w:left="284" w:hanging="284"/>
              <w:jc w:val="center"/>
              <w:rPr>
                <w:sz w:val="16"/>
              </w:rPr>
            </w:pPr>
          </w:p>
          <w:p w:rsidR="00DE76DA" w:rsidRPr="00AC4386" w:rsidRDefault="00DE76DA" w:rsidP="00DE76DA">
            <w:pPr>
              <w:spacing w:line="200" w:lineRule="atLeast"/>
              <w:ind w:left="284" w:hanging="284"/>
              <w:jc w:val="center"/>
              <w:rPr>
                <w:sz w:val="16"/>
              </w:rPr>
            </w:pPr>
            <w:r>
              <w:rPr>
                <w:sz w:val="16"/>
              </w:rPr>
              <w:t>MEDEWERKER MARKETING &amp; COMMUNICATIE</w:t>
            </w:r>
          </w:p>
        </w:tc>
        <w:tc>
          <w:tcPr>
            <w:tcW w:w="4914" w:type="dxa"/>
            <w:vMerge w:val="restart"/>
            <w:tcMar>
              <w:top w:w="113" w:type="dxa"/>
              <w:bottom w:w="113" w:type="dxa"/>
            </w:tcMar>
          </w:tcPr>
          <w:p w:rsidR="00DE76DA" w:rsidRDefault="00DE76DA" w:rsidP="00DE76DA">
            <w:pPr>
              <w:spacing w:line="200" w:lineRule="atLeast"/>
              <w:rPr>
                <w:sz w:val="16"/>
              </w:rPr>
            </w:pPr>
            <w:r w:rsidRPr="00B67509">
              <w:rPr>
                <w:sz w:val="16"/>
              </w:rPr>
              <w:t>Als de bedrijfsfunctie meer verantwoordelijkheden heeft, zoals</w:t>
            </w:r>
            <w:r>
              <w:rPr>
                <w:sz w:val="16"/>
              </w:rPr>
              <w:t xml:space="preserve"> wanneer:</w:t>
            </w:r>
          </w:p>
          <w:p w:rsidR="00DE76DA" w:rsidRDefault="00DE76DA" w:rsidP="00DE76DA">
            <w:pPr>
              <w:spacing w:line="200" w:lineRule="atLeast"/>
              <w:ind w:left="288" w:hanging="288"/>
              <w:rPr>
                <w:sz w:val="16"/>
              </w:rPr>
            </w:pPr>
            <w:r>
              <w:rPr>
                <w:sz w:val="16"/>
              </w:rPr>
              <w:t>-</w:t>
            </w:r>
            <w:r>
              <w:rPr>
                <w:sz w:val="16"/>
              </w:rPr>
              <w:tab/>
              <w:t xml:space="preserve">de functie verantwoordelijk is </w:t>
            </w:r>
            <w:r w:rsidR="00A63C25">
              <w:rPr>
                <w:sz w:val="16"/>
              </w:rPr>
              <w:t>voor marketing- en communicatie</w:t>
            </w:r>
            <w:r>
              <w:rPr>
                <w:sz w:val="16"/>
              </w:rPr>
              <w:t>aangelegenheden in een organisatie waarbij sprake is van een sterk internationaal karakter en de werkzaamheden derhalve uitgevoerd worden voor een bepaald internationaal afzetgebied;</w:t>
            </w:r>
          </w:p>
          <w:p w:rsidR="00DE76DA" w:rsidRDefault="00DE76DA" w:rsidP="00DE76DA">
            <w:pPr>
              <w:spacing w:line="200" w:lineRule="atLeast"/>
              <w:ind w:left="288" w:hanging="288"/>
              <w:rPr>
                <w:sz w:val="16"/>
              </w:rPr>
            </w:pPr>
            <w:r>
              <w:rPr>
                <w:sz w:val="16"/>
              </w:rPr>
              <w:t>-</w:t>
            </w:r>
            <w:r>
              <w:rPr>
                <w:sz w:val="16"/>
              </w:rPr>
              <w:tab/>
              <w:t>de functie een sterke adviesfunctie heeft aangaande het marketing- &amp; communicatiebeleid en de vertaling hiervan naar de operationele bedrijfsvoering (hoe, wat, wanneer, waar) op basis van de beschikbare marktbewerkingsinstrumenten;</w:t>
            </w:r>
          </w:p>
          <w:p w:rsidR="00DE76DA" w:rsidRPr="00B67509" w:rsidRDefault="00DE76DA" w:rsidP="00DE76DA">
            <w:pPr>
              <w:spacing w:line="200" w:lineRule="atLeast"/>
              <w:ind w:left="288" w:hanging="288"/>
              <w:rPr>
                <w:sz w:val="16"/>
              </w:rPr>
            </w:pPr>
            <w:r w:rsidRPr="00B67509">
              <w:rPr>
                <w:sz w:val="16"/>
              </w:rPr>
              <w:t>-</w:t>
            </w:r>
            <w:r w:rsidRPr="00B67509">
              <w:rPr>
                <w:sz w:val="16"/>
              </w:rPr>
              <w:tab/>
              <w:t>de functie verantwoordelijk is voor het opstellen en (laten) opvolgen van het communicatie</w:t>
            </w:r>
            <w:r>
              <w:rPr>
                <w:sz w:val="16"/>
              </w:rPr>
              <w:softHyphen/>
            </w:r>
            <w:r w:rsidRPr="00B67509">
              <w:rPr>
                <w:sz w:val="16"/>
              </w:rPr>
              <w:t>beleid van een eigen bedrijfsonderdeel van de organisatie binnen de strategische kaders van het centrale communicatiebeleid;</w:t>
            </w:r>
          </w:p>
          <w:p w:rsidR="00DE76DA" w:rsidRDefault="00DE76DA" w:rsidP="00DE76DA">
            <w:pPr>
              <w:spacing w:line="200" w:lineRule="atLeast"/>
              <w:ind w:left="288" w:hanging="288"/>
              <w:rPr>
                <w:sz w:val="16"/>
              </w:rPr>
            </w:pPr>
            <w:r w:rsidRPr="00B67509">
              <w:rPr>
                <w:sz w:val="16"/>
              </w:rPr>
              <w:t>-</w:t>
            </w:r>
            <w:r w:rsidRPr="00B67509">
              <w:rPr>
                <w:sz w:val="16"/>
              </w:rPr>
              <w:tab/>
              <w:t>de functie verantwoordelijk is voor het aangaan en onderhouden van (strategische) relaties (branche, politiek, etc.) als vertegenwoordiger van de organisatie op (decentraal) niveau.</w:t>
            </w:r>
          </w:p>
          <w:p w:rsidR="00DE76DA" w:rsidRPr="00B67509" w:rsidRDefault="00DE76DA" w:rsidP="00DE76DA">
            <w:pPr>
              <w:spacing w:line="200" w:lineRule="atLeast"/>
              <w:ind w:left="288" w:hanging="288"/>
              <w:rPr>
                <w:sz w:val="16"/>
              </w:rPr>
            </w:pPr>
          </w:p>
        </w:tc>
      </w:tr>
      <w:tr w:rsidR="00DE76DA" w:rsidRPr="00B67509">
        <w:trPr>
          <w:trHeight w:val="1420"/>
        </w:trPr>
        <w:tc>
          <w:tcPr>
            <w:tcW w:w="4914" w:type="dxa"/>
            <w:vMerge/>
            <w:tcBorders>
              <w:bottom w:val="single" w:sz="4" w:space="0" w:color="auto"/>
            </w:tcBorders>
            <w:tcMar>
              <w:top w:w="113" w:type="dxa"/>
              <w:bottom w:w="113" w:type="dxa"/>
            </w:tcMar>
          </w:tcPr>
          <w:p w:rsidR="00DE76DA" w:rsidRPr="00B67509" w:rsidRDefault="00DE76DA" w:rsidP="00DE76DA">
            <w:pPr>
              <w:spacing w:line="200" w:lineRule="atLeast"/>
              <w:rPr>
                <w:sz w:val="16"/>
              </w:rPr>
            </w:pPr>
          </w:p>
        </w:tc>
        <w:tc>
          <w:tcPr>
            <w:tcW w:w="4914" w:type="dxa"/>
            <w:tcBorders>
              <w:bottom w:val="single" w:sz="4" w:space="0" w:color="auto"/>
            </w:tcBorders>
            <w:shd w:val="clear" w:color="auto" w:fill="D9D9D9"/>
            <w:tcMar>
              <w:top w:w="113" w:type="dxa"/>
              <w:bottom w:w="113" w:type="dxa"/>
            </w:tcMar>
          </w:tcPr>
          <w:p w:rsidR="00DE76DA" w:rsidRPr="002B0AB0" w:rsidRDefault="00DE76DA" w:rsidP="00DE76DA">
            <w:pPr>
              <w:spacing w:line="200" w:lineRule="atLeast"/>
              <w:rPr>
                <w:color w:val="262626"/>
                <w:sz w:val="16"/>
              </w:rPr>
            </w:pPr>
            <w:r w:rsidRPr="002B0AB0">
              <w:rPr>
                <w:color w:val="262626"/>
                <w:sz w:val="16"/>
              </w:rPr>
              <w:t>Referentiefunctie handboek 2002:</w:t>
            </w:r>
          </w:p>
          <w:p w:rsidR="00DE76DA" w:rsidRPr="002B0AB0" w:rsidRDefault="00DE76DA" w:rsidP="00DE76DA">
            <w:pPr>
              <w:spacing w:line="200" w:lineRule="atLeast"/>
              <w:ind w:left="284" w:hanging="284"/>
              <w:rPr>
                <w:color w:val="262626"/>
                <w:sz w:val="16"/>
              </w:rPr>
            </w:pPr>
            <w:r w:rsidRPr="002B0AB0">
              <w:rPr>
                <w:color w:val="262626"/>
                <w:sz w:val="16"/>
              </w:rPr>
              <w:t>-</w:t>
            </w:r>
            <w:r w:rsidRPr="002B0AB0">
              <w:rPr>
                <w:color w:val="262626"/>
                <w:sz w:val="16"/>
              </w:rPr>
              <w:tab/>
              <w:t>PR-functionaris</w:t>
            </w:r>
            <w:r>
              <w:rPr>
                <w:color w:val="262626"/>
                <w:sz w:val="16"/>
              </w:rPr>
              <w:t xml:space="preserve"> (M.8.1)</w:t>
            </w:r>
          </w:p>
          <w:p w:rsidR="00DE76DA" w:rsidRDefault="00DE76DA" w:rsidP="00DE76DA">
            <w:pPr>
              <w:spacing w:line="200" w:lineRule="atLeast"/>
              <w:rPr>
                <w:sz w:val="16"/>
              </w:rPr>
            </w:pPr>
          </w:p>
        </w:tc>
        <w:tc>
          <w:tcPr>
            <w:tcW w:w="4914" w:type="dxa"/>
            <w:vMerge/>
            <w:tcBorders>
              <w:bottom w:val="single" w:sz="4" w:space="0" w:color="auto"/>
            </w:tcBorders>
            <w:tcMar>
              <w:top w:w="113" w:type="dxa"/>
              <w:bottom w:w="113" w:type="dxa"/>
            </w:tcMar>
          </w:tcPr>
          <w:p w:rsidR="00DE76DA" w:rsidRPr="00B67509" w:rsidRDefault="00DE76DA" w:rsidP="00DE76DA">
            <w:pPr>
              <w:spacing w:line="200" w:lineRule="atLeast"/>
              <w:rPr>
                <w:sz w:val="16"/>
              </w:rPr>
            </w:pPr>
          </w:p>
        </w:tc>
      </w:tr>
      <w:tr w:rsidR="00DE76DA" w:rsidRPr="00B67509">
        <w:tblPrEx>
          <w:tblLook w:val="04A0" w:firstRow="1" w:lastRow="0" w:firstColumn="1" w:lastColumn="0" w:noHBand="0" w:noVBand="1"/>
        </w:tblPrEx>
        <w:trPr>
          <w:trHeight w:val="284"/>
        </w:trPr>
        <w:tc>
          <w:tcPr>
            <w:tcW w:w="4914" w:type="dxa"/>
            <w:shd w:val="clear" w:color="auto" w:fill="B80526"/>
            <w:tcMar>
              <w:top w:w="28" w:type="dxa"/>
              <w:bottom w:w="28" w:type="dxa"/>
            </w:tcMar>
            <w:vAlign w:val="center"/>
          </w:tcPr>
          <w:p w:rsidR="00DE76DA" w:rsidRPr="00B67509" w:rsidRDefault="00DE76DA" w:rsidP="00DE76DA">
            <w:pPr>
              <w:spacing w:line="220" w:lineRule="atLeast"/>
              <w:jc w:val="center"/>
              <w:rPr>
                <w:b/>
                <w:color w:val="FFFFFF"/>
                <w:sz w:val="18"/>
              </w:rPr>
            </w:pPr>
            <w:r>
              <w:rPr>
                <w:b/>
                <w:color w:val="FFFFFF"/>
                <w:sz w:val="18"/>
              </w:rPr>
              <w:t>7</w:t>
            </w:r>
          </w:p>
        </w:tc>
        <w:tc>
          <w:tcPr>
            <w:tcW w:w="4914" w:type="dxa"/>
            <w:shd w:val="clear" w:color="auto" w:fill="B80526"/>
            <w:tcMar>
              <w:top w:w="28" w:type="dxa"/>
              <w:bottom w:w="28" w:type="dxa"/>
            </w:tcMar>
            <w:vAlign w:val="center"/>
          </w:tcPr>
          <w:p w:rsidR="00DE76DA" w:rsidRPr="00B67509" w:rsidRDefault="00DE76DA" w:rsidP="00DE76DA">
            <w:pPr>
              <w:spacing w:line="220" w:lineRule="atLeast"/>
              <w:jc w:val="center"/>
              <w:rPr>
                <w:b/>
                <w:color w:val="FFFFFF"/>
                <w:sz w:val="18"/>
              </w:rPr>
            </w:pPr>
            <w:r>
              <w:rPr>
                <w:b/>
                <w:color w:val="FFFFFF"/>
                <w:sz w:val="18"/>
              </w:rPr>
              <w:t>8 (referentie)</w:t>
            </w:r>
          </w:p>
        </w:tc>
        <w:tc>
          <w:tcPr>
            <w:tcW w:w="4914" w:type="dxa"/>
            <w:shd w:val="clear" w:color="auto" w:fill="B80526"/>
            <w:tcMar>
              <w:top w:w="28" w:type="dxa"/>
              <w:bottom w:w="28" w:type="dxa"/>
            </w:tcMar>
            <w:vAlign w:val="center"/>
          </w:tcPr>
          <w:p w:rsidR="00DE76DA" w:rsidRPr="00B67509" w:rsidRDefault="00DE76DA" w:rsidP="00DE76DA">
            <w:pPr>
              <w:spacing w:line="220" w:lineRule="atLeast"/>
              <w:jc w:val="center"/>
              <w:rPr>
                <w:b/>
                <w:color w:val="FFFFFF"/>
                <w:sz w:val="18"/>
              </w:rPr>
            </w:pPr>
            <w:r>
              <w:rPr>
                <w:b/>
                <w:color w:val="FFFFFF"/>
                <w:sz w:val="18"/>
              </w:rPr>
              <w:t>9</w:t>
            </w:r>
          </w:p>
        </w:tc>
      </w:tr>
    </w:tbl>
    <w:p w:rsidR="00DE76DA" w:rsidRPr="001073D2" w:rsidRDefault="00DE76DA" w:rsidP="00DE76DA">
      <w:pPr>
        <w:spacing w:line="220" w:lineRule="atLeast"/>
      </w:pPr>
    </w:p>
    <w:sectPr w:rsidR="00DE76DA" w:rsidRPr="001073D2" w:rsidSect="00DE76DA">
      <w:headerReference w:type="even" r:id="rId8"/>
      <w:headerReference w:type="default" r:id="rId9"/>
      <w:footerReference w:type="even" r:id="rId10"/>
      <w:footerReference w:type="default" r:id="rId11"/>
      <w:headerReference w:type="first" r:id="rId12"/>
      <w:footerReference w:type="first" r:id="rId13"/>
      <w:pgSz w:w="16838" w:h="11899" w:orient="landscape"/>
      <w:pgMar w:top="1701" w:right="1134"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EC4" w:rsidRDefault="00047EC4" w:rsidP="001073D2">
      <w:pPr>
        <w:spacing w:line="240" w:lineRule="auto"/>
      </w:pPr>
      <w:r>
        <w:separator/>
      </w:r>
    </w:p>
  </w:endnote>
  <w:endnote w:type="continuationSeparator" w:id="0">
    <w:p w:rsidR="00047EC4" w:rsidRDefault="00047EC4"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727" w:rsidRDefault="0012772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DA" w:rsidRPr="00ED0D2F" w:rsidRDefault="00DE76DA" w:rsidP="00DE76DA">
    <w:pPr>
      <w:pStyle w:val="Voettekst"/>
      <w:tabs>
        <w:tab w:val="clear" w:pos="4153"/>
        <w:tab w:val="clear" w:pos="8306"/>
        <w:tab w:val="right" w:pos="15026"/>
      </w:tabs>
      <w:jc w:val="left"/>
      <w:rPr>
        <w:sz w:val="16"/>
      </w:rPr>
    </w:pPr>
    <w:bookmarkStart w:id="0" w:name="_GoBack"/>
    <w:bookmarkEnd w:id="0"/>
    <w:r w:rsidRPr="00ED0D2F">
      <w:rPr>
        <w:sz w:val="16"/>
      </w:rPr>
      <w:tab/>
      <w:t xml:space="preserve">Indelingshulpmiddel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727" w:rsidRDefault="0012772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EC4" w:rsidRDefault="00047EC4" w:rsidP="001073D2">
      <w:pPr>
        <w:spacing w:line="240" w:lineRule="auto"/>
      </w:pPr>
      <w:r>
        <w:separator/>
      </w:r>
    </w:p>
  </w:footnote>
  <w:footnote w:type="continuationSeparator" w:id="0">
    <w:p w:rsidR="00047EC4" w:rsidRDefault="00047EC4"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727" w:rsidRDefault="0012772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DA" w:rsidRPr="004B5A50" w:rsidRDefault="00DE76DA" w:rsidP="00DE76DA">
    <w:pPr>
      <w:pStyle w:val="Koptekst"/>
      <w:tabs>
        <w:tab w:val="clear" w:pos="8306"/>
        <w:tab w:val="right" w:pos="14601"/>
      </w:tabs>
      <w:ind w:right="0"/>
      <w:jc w:val="left"/>
    </w:pPr>
    <w:r w:rsidRPr="004B5A50">
      <w:rPr>
        <w:lang w:eastAsia="nl-NL"/>
      </w:rPr>
      <w:t xml:space="preserve">Indelingshulpmiddel bij meer of minder verantwoordelijkheden dan de referentiefunctie: </w:t>
    </w:r>
    <w:r>
      <w:rPr>
        <w:lang w:eastAsia="nl-NL"/>
      </w:rPr>
      <w:t>Medewerker marketing &amp; communicatie</w:t>
    </w:r>
    <w:r w:rsidRPr="004B5A50">
      <w:rPr>
        <w:caps/>
        <w:lang w:eastAsia="nl-NL"/>
      </w:rPr>
      <w:tab/>
    </w:r>
    <w:r w:rsidRPr="004B5A50">
      <w:rPr>
        <w:lang w:eastAsia="nl-NL"/>
      </w:rPr>
      <w:t>F</w:t>
    </w:r>
    <w:r>
      <w:rPr>
        <w:lang w:eastAsia="nl-NL"/>
      </w:rPr>
      <w:t>unctienummer:  C.8.I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727" w:rsidRDefault="0012772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611FE"/>
    <w:multiLevelType w:val="hybridMultilevel"/>
    <w:tmpl w:val="0BD8C79A"/>
    <w:lvl w:ilvl="0" w:tplc="A5262794">
      <w:start w:val="2"/>
      <w:numFmt w:val="bullet"/>
      <w:lvlText w:val="-"/>
      <w:lvlJc w:val="left"/>
      <w:pPr>
        <w:tabs>
          <w:tab w:val="num" w:pos="720"/>
        </w:tabs>
        <w:ind w:left="720" w:hanging="36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7D74271D"/>
    <w:multiLevelType w:val="hybridMultilevel"/>
    <w:tmpl w:val="AF783032"/>
    <w:lvl w:ilvl="0" w:tplc="D75039E0">
      <w:start w:val="2"/>
      <w:numFmt w:val="bullet"/>
      <w:lvlText w:val="-"/>
      <w:lvlJc w:val="left"/>
      <w:pPr>
        <w:tabs>
          <w:tab w:val="num" w:pos="502"/>
        </w:tabs>
        <w:ind w:left="502" w:hanging="360"/>
      </w:pPr>
      <w:rPr>
        <w:rFonts w:ascii="Arial" w:eastAsia="Times New Roman" w:hAnsi="Arial" w:hint="default"/>
        <w:w w:val="0"/>
      </w:rPr>
    </w:lvl>
    <w:lvl w:ilvl="1" w:tplc="00030409" w:tentative="1">
      <w:start w:val="1"/>
      <w:numFmt w:val="bullet"/>
      <w:lvlText w:val="o"/>
      <w:lvlJc w:val="left"/>
      <w:pPr>
        <w:tabs>
          <w:tab w:val="num" w:pos="1222"/>
        </w:tabs>
        <w:ind w:left="1222" w:hanging="360"/>
      </w:pPr>
      <w:rPr>
        <w:rFonts w:ascii="Courier New" w:hAnsi="Courier New" w:hint="default"/>
      </w:rPr>
    </w:lvl>
    <w:lvl w:ilvl="2" w:tplc="00050409" w:tentative="1">
      <w:start w:val="1"/>
      <w:numFmt w:val="bullet"/>
      <w:lvlText w:val=""/>
      <w:lvlJc w:val="left"/>
      <w:pPr>
        <w:tabs>
          <w:tab w:val="num" w:pos="1942"/>
        </w:tabs>
        <w:ind w:left="1942" w:hanging="360"/>
      </w:pPr>
      <w:rPr>
        <w:rFonts w:ascii="Wingdings" w:hAnsi="Wingdings" w:hint="default"/>
      </w:rPr>
    </w:lvl>
    <w:lvl w:ilvl="3" w:tplc="00010409" w:tentative="1">
      <w:start w:val="1"/>
      <w:numFmt w:val="bullet"/>
      <w:lvlText w:val=""/>
      <w:lvlJc w:val="left"/>
      <w:pPr>
        <w:tabs>
          <w:tab w:val="num" w:pos="2662"/>
        </w:tabs>
        <w:ind w:left="2662" w:hanging="360"/>
      </w:pPr>
      <w:rPr>
        <w:rFonts w:ascii="Symbol" w:hAnsi="Symbol" w:hint="default"/>
      </w:rPr>
    </w:lvl>
    <w:lvl w:ilvl="4" w:tplc="00030409" w:tentative="1">
      <w:start w:val="1"/>
      <w:numFmt w:val="bullet"/>
      <w:lvlText w:val="o"/>
      <w:lvlJc w:val="left"/>
      <w:pPr>
        <w:tabs>
          <w:tab w:val="num" w:pos="3382"/>
        </w:tabs>
        <w:ind w:left="3382" w:hanging="360"/>
      </w:pPr>
      <w:rPr>
        <w:rFonts w:ascii="Courier New" w:hAnsi="Courier New" w:hint="default"/>
      </w:rPr>
    </w:lvl>
    <w:lvl w:ilvl="5" w:tplc="00050409" w:tentative="1">
      <w:start w:val="1"/>
      <w:numFmt w:val="bullet"/>
      <w:lvlText w:val=""/>
      <w:lvlJc w:val="left"/>
      <w:pPr>
        <w:tabs>
          <w:tab w:val="num" w:pos="4102"/>
        </w:tabs>
        <w:ind w:left="4102" w:hanging="360"/>
      </w:pPr>
      <w:rPr>
        <w:rFonts w:ascii="Wingdings" w:hAnsi="Wingdings" w:hint="default"/>
      </w:rPr>
    </w:lvl>
    <w:lvl w:ilvl="6" w:tplc="00010409" w:tentative="1">
      <w:start w:val="1"/>
      <w:numFmt w:val="bullet"/>
      <w:lvlText w:val=""/>
      <w:lvlJc w:val="left"/>
      <w:pPr>
        <w:tabs>
          <w:tab w:val="num" w:pos="4822"/>
        </w:tabs>
        <w:ind w:left="4822" w:hanging="360"/>
      </w:pPr>
      <w:rPr>
        <w:rFonts w:ascii="Symbol" w:hAnsi="Symbol" w:hint="default"/>
      </w:rPr>
    </w:lvl>
    <w:lvl w:ilvl="7" w:tplc="00030409" w:tentative="1">
      <w:start w:val="1"/>
      <w:numFmt w:val="bullet"/>
      <w:lvlText w:val="o"/>
      <w:lvlJc w:val="left"/>
      <w:pPr>
        <w:tabs>
          <w:tab w:val="num" w:pos="5542"/>
        </w:tabs>
        <w:ind w:left="5542" w:hanging="360"/>
      </w:pPr>
      <w:rPr>
        <w:rFonts w:ascii="Courier New" w:hAnsi="Courier New" w:hint="default"/>
      </w:rPr>
    </w:lvl>
    <w:lvl w:ilvl="8" w:tplc="00050409" w:tentative="1">
      <w:start w:val="1"/>
      <w:numFmt w:val="bullet"/>
      <w:lvlText w:val=""/>
      <w:lvlJc w:val="left"/>
      <w:pPr>
        <w:tabs>
          <w:tab w:val="num" w:pos="6262"/>
        </w:tabs>
        <w:ind w:left="626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4930EE"/>
    <w:rsid w:val="00047EC4"/>
    <w:rsid w:val="00127727"/>
    <w:rsid w:val="004930EE"/>
    <w:rsid w:val="00914E12"/>
    <w:rsid w:val="00A63C25"/>
    <w:rsid w:val="00DE76DA"/>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1677</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2011-03-21T15:18:00Z</cp:lastPrinted>
  <dcterms:created xsi:type="dcterms:W3CDTF">2011-07-21T15:49:00Z</dcterms:created>
  <dcterms:modified xsi:type="dcterms:W3CDTF">2012-06-06T11:52:00Z</dcterms:modified>
</cp:coreProperties>
</file>