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745"/>
        <w:gridCol w:w="1281"/>
        <w:gridCol w:w="8905"/>
        <w:gridCol w:w="1378"/>
      </w:tblGrid>
      <w:tr w:rsidR="00286F60" w:rsidRPr="006925C7">
        <w:trPr>
          <w:trHeight w:val="170"/>
        </w:trPr>
        <w:tc>
          <w:tcPr>
            <w:tcW w:w="2368" w:type="dxa"/>
            <w:tcBorders>
              <w:bottom w:val="single" w:sz="4" w:space="0" w:color="auto"/>
            </w:tcBorders>
            <w:shd w:val="clear" w:color="auto" w:fill="B80526"/>
            <w:tcMar>
              <w:top w:w="28" w:type="dxa"/>
              <w:bottom w:w="28" w:type="dxa"/>
            </w:tcMar>
          </w:tcPr>
          <w:p w:rsidR="009D5196" w:rsidRPr="006925C7" w:rsidRDefault="009D5196" w:rsidP="00286F60">
            <w:pPr>
              <w:jc w:val="cente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tcPr>
          <w:p w:rsidR="00286F60" w:rsidRPr="006925C7" w:rsidRDefault="00286F60" w:rsidP="00286F60">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tcPr>
          <w:p w:rsidR="00286F60" w:rsidRPr="006925C7" w:rsidRDefault="00286F60" w:rsidP="00286F60">
            <w:pPr>
              <w:jc w:val="center"/>
              <w:rPr>
                <w:b/>
                <w:caps/>
                <w:color w:val="FFFFFF"/>
                <w:sz w:val="18"/>
              </w:rPr>
            </w:pPr>
            <w:r>
              <w:rPr>
                <w:b/>
                <w:caps/>
                <w:color w:val="FFFFFF"/>
                <w:sz w:val="18"/>
              </w:rPr>
              <w:t>Medewerker sales II</w:t>
            </w:r>
          </w:p>
        </w:tc>
        <w:tc>
          <w:tcPr>
            <w:tcW w:w="871" w:type="dxa"/>
            <w:tcBorders>
              <w:bottom w:val="single" w:sz="4" w:space="0" w:color="auto"/>
            </w:tcBorders>
            <w:shd w:val="clear" w:color="auto" w:fill="B80526"/>
            <w:tcMar>
              <w:top w:w="28" w:type="dxa"/>
              <w:bottom w:w="28" w:type="dxa"/>
            </w:tcMar>
          </w:tcPr>
          <w:p w:rsidR="00286F60" w:rsidRPr="006925C7" w:rsidRDefault="00286F60" w:rsidP="00286F60">
            <w:pPr>
              <w:jc w:val="center"/>
              <w:rPr>
                <w:b/>
                <w:caps/>
                <w:color w:val="FFFFFF"/>
                <w:sz w:val="18"/>
              </w:rPr>
            </w:pPr>
            <w:r w:rsidRPr="006925C7">
              <w:rPr>
                <w:b/>
                <w:caps/>
                <w:color w:val="FFFFFF"/>
                <w:sz w:val="18"/>
              </w:rPr>
              <w:t>+</w:t>
            </w:r>
          </w:p>
        </w:tc>
      </w:tr>
      <w:tr w:rsidR="00286F60" w:rsidRPr="004C3EC4">
        <w:tc>
          <w:tcPr>
            <w:tcW w:w="2368" w:type="dxa"/>
            <w:shd w:val="clear" w:color="auto" w:fill="auto"/>
          </w:tcPr>
          <w:p w:rsidR="00286F60" w:rsidRPr="00521AEC" w:rsidRDefault="00286F60" w:rsidP="00286F60">
            <w:pPr>
              <w:spacing w:line="160" w:lineRule="atLeast"/>
              <w:rPr>
                <w:b/>
                <w:i/>
                <w:color w:val="B80526"/>
                <w:sz w:val="16"/>
              </w:rPr>
            </w:pPr>
            <w:r w:rsidRPr="00521AEC">
              <w:rPr>
                <w:b/>
                <w:i/>
                <w:color w:val="B80526"/>
                <w:sz w:val="16"/>
              </w:rPr>
              <w:t xml:space="preserve">Complexiteit </w:t>
            </w:r>
          </w:p>
          <w:p w:rsidR="00286F60" w:rsidRPr="00521AEC" w:rsidRDefault="00286F60" w:rsidP="00286F60">
            <w:pPr>
              <w:spacing w:line="160" w:lineRule="atLeast"/>
              <w:rPr>
                <w:b/>
                <w:i/>
                <w:color w:val="B80526"/>
                <w:sz w:val="16"/>
              </w:rPr>
            </w:pPr>
          </w:p>
        </w:tc>
        <w:tc>
          <w:tcPr>
            <w:tcW w:w="810" w:type="dxa"/>
            <w:vMerge w:val="restart"/>
            <w:textDirection w:val="btLr"/>
            <w:vAlign w:val="center"/>
          </w:tcPr>
          <w:p w:rsidR="00286F60" w:rsidRPr="004C3EC4" w:rsidRDefault="00286F60" w:rsidP="00286F60">
            <w:pPr>
              <w:spacing w:line="160" w:lineRule="atLeast"/>
              <w:ind w:left="57" w:right="113"/>
              <w:jc w:val="center"/>
              <w:rPr>
                <w:sz w:val="16"/>
              </w:rPr>
            </w:pPr>
            <w:r w:rsidRPr="004C3EC4">
              <w:rPr>
                <w:sz w:val="16"/>
              </w:rPr>
              <w:t xml:space="preserve">Zie </w:t>
            </w:r>
            <w:r>
              <w:rPr>
                <w:sz w:val="16"/>
              </w:rPr>
              <w:t xml:space="preserve">functieomschrijving en IHM-bijlage </w:t>
            </w:r>
            <w:r>
              <w:rPr>
                <w:sz w:val="16"/>
              </w:rPr>
              <w:br/>
              <w:t>Medewerker reserveringen</w:t>
            </w:r>
          </w:p>
        </w:tc>
        <w:tc>
          <w:tcPr>
            <w:tcW w:w="5630" w:type="dxa"/>
            <w:shd w:val="clear" w:color="auto" w:fill="D9D9D9"/>
            <w:tcMar>
              <w:top w:w="28" w:type="dxa"/>
              <w:bottom w:w="28" w:type="dxa"/>
            </w:tcMar>
          </w:tcPr>
          <w:p w:rsidR="00286F60" w:rsidRPr="00597433" w:rsidRDefault="00286F60" w:rsidP="00286F60">
            <w:pPr>
              <w:spacing w:line="160" w:lineRule="atLeast"/>
              <w:ind w:left="215" w:hanging="215"/>
              <w:rPr>
                <w:sz w:val="16"/>
              </w:rPr>
            </w:pPr>
            <w:r>
              <w:rPr>
                <w:sz w:val="16"/>
              </w:rPr>
              <w:t>-</w:t>
            </w:r>
            <w:r>
              <w:rPr>
                <w:sz w:val="16"/>
              </w:rPr>
              <w:tab/>
            </w:r>
            <w:r w:rsidRPr="00597433">
              <w:rPr>
                <w:sz w:val="16"/>
              </w:rPr>
              <w:t>Flexibel pakket faciliteiten en arrangementen. Medewerker</w:t>
            </w:r>
            <w:r>
              <w:rPr>
                <w:sz w:val="16"/>
              </w:rPr>
              <w:t xml:space="preserve"> sales II</w:t>
            </w:r>
            <w:r w:rsidRPr="00597433">
              <w:rPr>
                <w:sz w:val="16"/>
              </w:rPr>
              <w:t xml:space="preserve"> heeft enige vrijheid in het zelfstandig doorvoeren van </w:t>
            </w:r>
            <w:proofErr w:type="spellStart"/>
            <w:r w:rsidRPr="00597433">
              <w:rPr>
                <w:sz w:val="16"/>
              </w:rPr>
              <w:t>klantspecifieke</w:t>
            </w:r>
            <w:proofErr w:type="spellEnd"/>
            <w:r w:rsidRPr="00597433">
              <w:rPr>
                <w:sz w:val="16"/>
              </w:rPr>
              <w:t xml:space="preserve"> wensen door het modificeren van arrangementen binnen de kaders zoals opgesteld door de leidinggevende. </w:t>
            </w:r>
          </w:p>
          <w:p w:rsidR="00286F60" w:rsidRPr="00597433" w:rsidRDefault="00286F60" w:rsidP="00286F60">
            <w:pPr>
              <w:spacing w:line="160" w:lineRule="atLeast"/>
              <w:ind w:left="215" w:hanging="215"/>
              <w:rPr>
                <w:sz w:val="16"/>
              </w:rPr>
            </w:pPr>
          </w:p>
        </w:tc>
        <w:tc>
          <w:tcPr>
            <w:tcW w:w="871" w:type="dxa"/>
            <w:vMerge w:val="restart"/>
            <w:tcMar>
              <w:top w:w="28" w:type="dxa"/>
              <w:bottom w:w="28" w:type="dxa"/>
            </w:tcMar>
            <w:textDirection w:val="btLr"/>
            <w:vAlign w:val="center"/>
          </w:tcPr>
          <w:p w:rsidR="00286F60" w:rsidRPr="004C3EC4" w:rsidRDefault="00286F60" w:rsidP="00286F60">
            <w:pPr>
              <w:spacing w:line="240" w:lineRule="auto"/>
              <w:ind w:left="397" w:right="113" w:hanging="284"/>
              <w:jc w:val="center"/>
              <w:rPr>
                <w:sz w:val="16"/>
              </w:rPr>
            </w:pPr>
            <w:r w:rsidRPr="004C3EC4">
              <w:rPr>
                <w:sz w:val="16"/>
              </w:rPr>
              <w:t xml:space="preserve">Zie </w:t>
            </w:r>
            <w:r>
              <w:rPr>
                <w:sz w:val="16"/>
              </w:rPr>
              <w:t>functieomschrijving en NOK-bijlage Accountmanager</w:t>
            </w:r>
          </w:p>
        </w:tc>
      </w:tr>
      <w:tr w:rsidR="00286F60" w:rsidRPr="004C3EC4">
        <w:tc>
          <w:tcPr>
            <w:tcW w:w="2368" w:type="dxa"/>
            <w:shd w:val="clear" w:color="auto" w:fill="auto"/>
          </w:tcPr>
          <w:p w:rsidR="00286F60" w:rsidRPr="0036769F" w:rsidRDefault="00286F60" w:rsidP="00286F60">
            <w:pPr>
              <w:spacing w:line="160" w:lineRule="atLeast"/>
              <w:rPr>
                <w:b/>
                <w:i/>
                <w:color w:val="B80526"/>
                <w:sz w:val="16"/>
              </w:rPr>
            </w:pPr>
            <w:r w:rsidRPr="00521AEC">
              <w:rPr>
                <w:b/>
                <w:i/>
                <w:color w:val="B80526"/>
                <w:sz w:val="16"/>
              </w:rPr>
              <w:t>Positie in het bedrijf</w:t>
            </w:r>
          </w:p>
        </w:tc>
        <w:tc>
          <w:tcPr>
            <w:tcW w:w="810" w:type="dxa"/>
            <w:vMerge/>
          </w:tcPr>
          <w:p w:rsidR="00286F60" w:rsidRPr="004C3EC4" w:rsidRDefault="00286F60" w:rsidP="00286F60">
            <w:pPr>
              <w:spacing w:line="160" w:lineRule="atLeast"/>
              <w:ind w:left="284" w:hanging="284"/>
              <w:rPr>
                <w:sz w:val="16"/>
              </w:rPr>
            </w:pPr>
          </w:p>
        </w:tc>
        <w:tc>
          <w:tcPr>
            <w:tcW w:w="5630" w:type="dxa"/>
            <w:shd w:val="clear" w:color="auto" w:fill="D9D9D9"/>
            <w:tcMar>
              <w:top w:w="28" w:type="dxa"/>
              <w:bottom w:w="28" w:type="dxa"/>
            </w:tcMar>
          </w:tcPr>
          <w:p w:rsidR="00286F60" w:rsidRPr="00597433" w:rsidRDefault="00286F60" w:rsidP="00286F60">
            <w:pPr>
              <w:spacing w:line="160" w:lineRule="atLeast"/>
              <w:ind w:left="215" w:hanging="215"/>
              <w:rPr>
                <w:sz w:val="16"/>
              </w:rPr>
            </w:pPr>
            <w:r>
              <w:rPr>
                <w:sz w:val="16"/>
              </w:rPr>
              <w:t>-</w:t>
            </w:r>
            <w:r>
              <w:rPr>
                <w:sz w:val="16"/>
              </w:rPr>
              <w:tab/>
            </w:r>
            <w:r w:rsidRPr="00597433">
              <w:rPr>
                <w:sz w:val="16"/>
              </w:rPr>
              <w:t>De afstand tot de direct leidinggevende is aanzienlijk. De medewerker sales II neemt zelfstandig beslissingen over het versturen van offertes, klachtafhandeling en inhuren van benodigde diensten en faciliteiten (bij regionale, relatief ‘kleine’ accounts).</w:t>
            </w:r>
          </w:p>
          <w:p w:rsidR="00286F60" w:rsidRPr="00597433" w:rsidRDefault="00286F60" w:rsidP="00286F60">
            <w:pPr>
              <w:spacing w:line="160" w:lineRule="atLeast"/>
              <w:rPr>
                <w:sz w:val="16"/>
              </w:rPr>
            </w:pPr>
          </w:p>
        </w:tc>
        <w:tc>
          <w:tcPr>
            <w:tcW w:w="871" w:type="dxa"/>
            <w:vMerge/>
            <w:tcMar>
              <w:top w:w="28" w:type="dxa"/>
              <w:bottom w:w="28" w:type="dxa"/>
            </w:tcMar>
          </w:tcPr>
          <w:p w:rsidR="00286F60" w:rsidRPr="004C3EC4" w:rsidRDefault="00286F60" w:rsidP="00286F60">
            <w:pPr>
              <w:spacing w:line="240" w:lineRule="auto"/>
              <w:rPr>
                <w:i/>
                <w:sz w:val="16"/>
              </w:rPr>
            </w:pPr>
          </w:p>
        </w:tc>
      </w:tr>
      <w:tr w:rsidR="00286F60" w:rsidRPr="004C3EC4">
        <w:tc>
          <w:tcPr>
            <w:tcW w:w="2368" w:type="dxa"/>
            <w:shd w:val="clear" w:color="auto" w:fill="auto"/>
          </w:tcPr>
          <w:p w:rsidR="00286F60" w:rsidRPr="0036769F" w:rsidRDefault="00286F60" w:rsidP="00286F60">
            <w:pPr>
              <w:spacing w:line="160" w:lineRule="atLeast"/>
              <w:rPr>
                <w:b/>
                <w:i/>
                <w:color w:val="B80526"/>
                <w:sz w:val="16"/>
              </w:rPr>
            </w:pPr>
            <w:r w:rsidRPr="00521AEC">
              <w:rPr>
                <w:b/>
                <w:i/>
                <w:color w:val="B80526"/>
                <w:sz w:val="16"/>
              </w:rPr>
              <w:t>Aard van de werkzaamheden</w:t>
            </w:r>
          </w:p>
        </w:tc>
        <w:tc>
          <w:tcPr>
            <w:tcW w:w="810" w:type="dxa"/>
            <w:vMerge/>
          </w:tcPr>
          <w:p w:rsidR="00286F60" w:rsidRPr="004C3EC4" w:rsidRDefault="00286F60" w:rsidP="00286F60">
            <w:pPr>
              <w:spacing w:line="160" w:lineRule="atLeast"/>
              <w:ind w:left="284" w:hanging="284"/>
              <w:rPr>
                <w:sz w:val="16"/>
              </w:rPr>
            </w:pPr>
          </w:p>
        </w:tc>
        <w:tc>
          <w:tcPr>
            <w:tcW w:w="5630" w:type="dxa"/>
            <w:shd w:val="clear" w:color="auto" w:fill="D9D9D9"/>
            <w:tcMar>
              <w:top w:w="28" w:type="dxa"/>
              <w:bottom w:w="28" w:type="dxa"/>
            </w:tcMar>
          </w:tcPr>
          <w:p w:rsidR="00286F60" w:rsidRDefault="00286F60" w:rsidP="00286F60">
            <w:pPr>
              <w:spacing w:line="160" w:lineRule="atLeast"/>
              <w:ind w:left="215" w:hanging="215"/>
              <w:rPr>
                <w:sz w:val="16"/>
              </w:rPr>
            </w:pPr>
            <w:r>
              <w:rPr>
                <w:sz w:val="16"/>
              </w:rPr>
              <w:t>-</w:t>
            </w:r>
            <w:r>
              <w:rPr>
                <w:sz w:val="16"/>
              </w:rPr>
              <w:tab/>
            </w:r>
            <w:r w:rsidRPr="00597433">
              <w:rPr>
                <w:sz w:val="16"/>
              </w:rPr>
              <w:t xml:space="preserve">De medewerker sales II voert zelf acquisitiegesprekken met regionale, relatief ‘kleine’ accounts. </w:t>
            </w:r>
          </w:p>
          <w:p w:rsidR="00286F60" w:rsidRDefault="00286F60" w:rsidP="00286F60">
            <w:pPr>
              <w:spacing w:line="160" w:lineRule="atLeast"/>
              <w:ind w:left="215" w:hanging="215"/>
              <w:rPr>
                <w:sz w:val="16"/>
              </w:rPr>
            </w:pPr>
          </w:p>
          <w:p w:rsidR="00286F60" w:rsidRPr="00597433" w:rsidRDefault="00286F60" w:rsidP="00286F60">
            <w:pPr>
              <w:spacing w:line="160" w:lineRule="atLeast"/>
              <w:ind w:left="215" w:hanging="215"/>
              <w:rPr>
                <w:sz w:val="16"/>
              </w:rPr>
            </w:pPr>
            <w:r>
              <w:rPr>
                <w:sz w:val="16"/>
              </w:rPr>
              <w:t>-</w:t>
            </w:r>
            <w:r>
              <w:rPr>
                <w:sz w:val="16"/>
              </w:rPr>
              <w:tab/>
            </w:r>
            <w:r w:rsidRPr="00597433">
              <w:rPr>
                <w:sz w:val="16"/>
              </w:rPr>
              <w:t xml:space="preserve">Klantcontact is adviserend en gericht op verkoopbevordering. </w:t>
            </w:r>
          </w:p>
          <w:p w:rsidR="00286F60" w:rsidRPr="00597433" w:rsidRDefault="00286F60" w:rsidP="00286F60">
            <w:pPr>
              <w:spacing w:line="160" w:lineRule="atLeast"/>
              <w:rPr>
                <w:sz w:val="16"/>
              </w:rPr>
            </w:pPr>
          </w:p>
        </w:tc>
        <w:tc>
          <w:tcPr>
            <w:tcW w:w="871" w:type="dxa"/>
            <w:vMerge/>
            <w:tcMar>
              <w:top w:w="28" w:type="dxa"/>
              <w:bottom w:w="28" w:type="dxa"/>
            </w:tcMar>
          </w:tcPr>
          <w:p w:rsidR="00286F60" w:rsidRPr="004C3EC4" w:rsidRDefault="00286F60" w:rsidP="00286F60">
            <w:pPr>
              <w:spacing w:line="240" w:lineRule="auto"/>
              <w:rPr>
                <w:i/>
                <w:sz w:val="16"/>
              </w:rPr>
            </w:pPr>
          </w:p>
        </w:tc>
      </w:tr>
      <w:tr w:rsidR="00286F60" w:rsidRPr="004C3EC4">
        <w:tc>
          <w:tcPr>
            <w:tcW w:w="2368" w:type="dxa"/>
          </w:tcPr>
          <w:p w:rsidR="00286F60" w:rsidRPr="0036769F" w:rsidRDefault="00286F60" w:rsidP="00286F60">
            <w:pPr>
              <w:spacing w:line="160" w:lineRule="atLeast"/>
              <w:rPr>
                <w:b/>
                <w:i/>
                <w:color w:val="B80526"/>
                <w:sz w:val="16"/>
              </w:rPr>
            </w:pPr>
            <w:r>
              <w:rPr>
                <w:b/>
                <w:i/>
                <w:color w:val="B80526"/>
                <w:sz w:val="16"/>
              </w:rPr>
              <w:t xml:space="preserve">Referentiefunctie </w:t>
            </w:r>
            <w:r>
              <w:rPr>
                <w:b/>
                <w:i/>
                <w:color w:val="B80526"/>
                <w:sz w:val="16"/>
              </w:rPr>
              <w:br/>
              <w:t>handboek 2002</w:t>
            </w:r>
          </w:p>
        </w:tc>
        <w:tc>
          <w:tcPr>
            <w:tcW w:w="810" w:type="dxa"/>
            <w:vMerge/>
          </w:tcPr>
          <w:p w:rsidR="00286F60" w:rsidRPr="004C3EC4" w:rsidRDefault="00286F60" w:rsidP="00286F60">
            <w:pPr>
              <w:spacing w:line="160" w:lineRule="atLeast"/>
              <w:ind w:left="176" w:hanging="176"/>
              <w:rPr>
                <w:i/>
                <w:sz w:val="16"/>
              </w:rPr>
            </w:pPr>
          </w:p>
        </w:tc>
        <w:tc>
          <w:tcPr>
            <w:tcW w:w="5630" w:type="dxa"/>
            <w:shd w:val="clear" w:color="auto" w:fill="D9D9D9"/>
            <w:tcMar>
              <w:top w:w="28" w:type="dxa"/>
              <w:bottom w:w="28" w:type="dxa"/>
            </w:tcMar>
          </w:tcPr>
          <w:p w:rsidR="00286F60" w:rsidRPr="00597433" w:rsidRDefault="00286F60" w:rsidP="00286F60">
            <w:pPr>
              <w:spacing w:line="160" w:lineRule="atLeast"/>
              <w:ind w:left="215" w:hanging="215"/>
              <w:rPr>
                <w:sz w:val="16"/>
              </w:rPr>
            </w:pPr>
            <w:r w:rsidRPr="00597433">
              <w:rPr>
                <w:sz w:val="16"/>
              </w:rPr>
              <w:t>-</w:t>
            </w:r>
            <w:r>
              <w:rPr>
                <w:sz w:val="16"/>
              </w:rPr>
              <w:tab/>
              <w:t>Medewerker marketing/sales (M.6.1)</w:t>
            </w:r>
          </w:p>
          <w:p w:rsidR="00286F60" w:rsidRPr="00597433" w:rsidRDefault="00286F60" w:rsidP="00286F60">
            <w:pPr>
              <w:spacing w:line="160" w:lineRule="atLeast"/>
              <w:ind w:left="176" w:hanging="176"/>
              <w:rPr>
                <w:sz w:val="16"/>
              </w:rPr>
            </w:pPr>
          </w:p>
        </w:tc>
        <w:tc>
          <w:tcPr>
            <w:tcW w:w="871" w:type="dxa"/>
            <w:vMerge/>
            <w:shd w:val="clear" w:color="auto" w:fill="auto"/>
            <w:tcMar>
              <w:top w:w="28" w:type="dxa"/>
              <w:bottom w:w="28" w:type="dxa"/>
            </w:tcMar>
          </w:tcPr>
          <w:p w:rsidR="00286F60" w:rsidRPr="004C3EC4" w:rsidRDefault="00286F60" w:rsidP="00286F60">
            <w:pPr>
              <w:spacing w:line="240" w:lineRule="auto"/>
              <w:rPr>
                <w:sz w:val="16"/>
              </w:rPr>
            </w:pPr>
          </w:p>
        </w:tc>
      </w:tr>
      <w:tr w:rsidR="00286F60" w:rsidRPr="006925C7">
        <w:trPr>
          <w:trHeight w:val="170"/>
        </w:trPr>
        <w:tc>
          <w:tcPr>
            <w:tcW w:w="2368" w:type="dxa"/>
            <w:shd w:val="clear" w:color="auto" w:fill="B80526"/>
            <w:tcMar>
              <w:top w:w="28" w:type="dxa"/>
              <w:bottom w:w="28" w:type="dxa"/>
            </w:tcMar>
          </w:tcPr>
          <w:p w:rsidR="00286F60" w:rsidRPr="006925C7" w:rsidRDefault="00286F60" w:rsidP="00286F60">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tcPr>
          <w:p w:rsidR="00286F60" w:rsidRPr="006925C7" w:rsidRDefault="00286F60" w:rsidP="00286F60">
            <w:pPr>
              <w:jc w:val="center"/>
              <w:rPr>
                <w:b/>
                <w:color w:val="FFFFFF"/>
                <w:sz w:val="18"/>
              </w:rPr>
            </w:pPr>
            <w:r>
              <w:rPr>
                <w:b/>
                <w:color w:val="FFFFFF"/>
                <w:sz w:val="18"/>
              </w:rPr>
              <w:t>4</w:t>
            </w:r>
          </w:p>
        </w:tc>
        <w:tc>
          <w:tcPr>
            <w:tcW w:w="5630" w:type="dxa"/>
            <w:shd w:val="clear" w:color="auto" w:fill="B80526"/>
            <w:tcMar>
              <w:top w:w="28" w:type="dxa"/>
              <w:bottom w:w="28" w:type="dxa"/>
            </w:tcMar>
          </w:tcPr>
          <w:p w:rsidR="00286F60" w:rsidRPr="006925C7" w:rsidRDefault="00286F60" w:rsidP="00286F60">
            <w:pPr>
              <w:jc w:val="center"/>
              <w:rPr>
                <w:b/>
                <w:color w:val="FFFFFF"/>
                <w:sz w:val="18"/>
              </w:rPr>
            </w:pPr>
            <w:r>
              <w:rPr>
                <w:b/>
                <w:color w:val="FFFFFF"/>
                <w:sz w:val="18"/>
              </w:rPr>
              <w:t>6 (referentie)</w:t>
            </w:r>
          </w:p>
        </w:tc>
        <w:tc>
          <w:tcPr>
            <w:tcW w:w="871" w:type="dxa"/>
            <w:shd w:val="clear" w:color="auto" w:fill="B80526"/>
            <w:tcMar>
              <w:top w:w="28" w:type="dxa"/>
              <w:bottom w:w="28" w:type="dxa"/>
            </w:tcMar>
          </w:tcPr>
          <w:p w:rsidR="00286F60" w:rsidRPr="006925C7" w:rsidRDefault="00286F60" w:rsidP="00286F60">
            <w:pPr>
              <w:jc w:val="center"/>
              <w:rPr>
                <w:b/>
                <w:color w:val="FFFFFF"/>
                <w:sz w:val="18"/>
              </w:rPr>
            </w:pPr>
            <w:r>
              <w:rPr>
                <w:b/>
                <w:color w:val="FFFFFF"/>
                <w:sz w:val="18"/>
              </w:rPr>
              <w:t>7</w:t>
            </w:r>
          </w:p>
        </w:tc>
      </w:tr>
    </w:tbl>
    <w:p w:rsidR="00286F60" w:rsidRPr="00713988" w:rsidRDefault="00286F60" w:rsidP="00286F60">
      <w:pPr>
        <w:ind w:left="-567"/>
        <w:jc w:val="center"/>
        <w:rPr>
          <w:i/>
          <w:sz w:val="16"/>
        </w:rPr>
      </w:pPr>
      <w:r w:rsidRPr="00713988">
        <w:rPr>
          <w:i/>
          <w:sz w:val="16"/>
        </w:rPr>
        <w:t>NB. Functiehouder moet in staat zijn alle aspecten van voorgaande functie te beheersen.</w:t>
      </w:r>
    </w:p>
    <w:sectPr w:rsidR="00286F60" w:rsidRPr="00713988" w:rsidSect="00286F60">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851"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96" w:rsidRDefault="009D5196" w:rsidP="001073D2">
      <w:pPr>
        <w:spacing w:line="240" w:lineRule="auto"/>
      </w:pPr>
      <w:r>
        <w:separator/>
      </w:r>
    </w:p>
  </w:endnote>
  <w:endnote w:type="continuationSeparator" w:id="0">
    <w:p w:rsidR="009D5196" w:rsidRDefault="009D5196"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D8" w:rsidRDefault="003C56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0" w:rsidRPr="003C56D8" w:rsidRDefault="00286F60" w:rsidP="003C56D8">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D8" w:rsidRDefault="003C56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96" w:rsidRDefault="009D5196" w:rsidP="001073D2">
      <w:pPr>
        <w:spacing w:line="240" w:lineRule="auto"/>
      </w:pPr>
      <w:r>
        <w:separator/>
      </w:r>
    </w:p>
  </w:footnote>
  <w:footnote w:type="continuationSeparator" w:id="0">
    <w:p w:rsidR="009D5196" w:rsidRDefault="009D5196"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D8" w:rsidRDefault="003C56D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0" w:rsidRPr="003C56D8" w:rsidRDefault="00286F60" w:rsidP="00286F60">
    <w:pPr>
      <w:pStyle w:val="Koptekst"/>
      <w:tabs>
        <w:tab w:val="clear" w:pos="4153"/>
        <w:tab w:val="clear" w:pos="8306"/>
        <w:tab w:val="right" w:pos="15026"/>
      </w:tabs>
      <w:spacing w:line="200" w:lineRule="atLeast"/>
      <w:ind w:right="110"/>
      <w:jc w:val="left"/>
      <w:rPr>
        <w:color w:val="404040"/>
        <w:lang w:eastAsia="nl-NL"/>
      </w:rPr>
    </w:pPr>
    <w:r w:rsidRPr="00BD520D">
      <w:rPr>
        <w:color w:val="404040"/>
      </w:rPr>
      <w:t>Niveau onderscheidende kenmerken</w:t>
    </w:r>
    <w:r w:rsidRPr="00BD520D">
      <w:rPr>
        <w:caps/>
        <w:color w:val="404040"/>
      </w:rPr>
      <w:t xml:space="preserve"> (nok) – </w:t>
    </w:r>
    <w:r>
      <w:rPr>
        <w:color w:val="404040"/>
      </w:rPr>
      <w:t>Medewerker sales</w:t>
    </w:r>
    <w:r w:rsidRPr="00BD520D">
      <w:rPr>
        <w:caps/>
        <w:color w:val="404040"/>
      </w:rPr>
      <w:tab/>
    </w:r>
    <w:r>
      <w:rPr>
        <w:color w:val="404040"/>
      </w:rPr>
      <w:t>Functienummer:  C.6.I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D8" w:rsidRDefault="003C56D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CC3E7D"/>
    <w:rsid w:val="0004057D"/>
    <w:rsid w:val="001B2AB3"/>
    <w:rsid w:val="00286F60"/>
    <w:rsid w:val="003C56D8"/>
    <w:rsid w:val="009D5196"/>
    <w:rsid w:val="00CC3E7D"/>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951</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2011-03-21T15:16:00Z</cp:lastPrinted>
  <dcterms:created xsi:type="dcterms:W3CDTF">2011-07-21T15:49:00Z</dcterms:created>
  <dcterms:modified xsi:type="dcterms:W3CDTF">2012-06-06T11:52:00Z</dcterms:modified>
</cp:coreProperties>
</file>