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33719B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6305F6" w:rsidP="0033719B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3719B" w:rsidRPr="00A9384C" w:rsidRDefault="0033719B" w:rsidP="0033719B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inkoper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3719B" w:rsidRPr="00B67509" w:rsidRDefault="0033719B" w:rsidP="0033719B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33719B" w:rsidRPr="00B67509">
        <w:trPr>
          <w:trHeight w:val="4609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3719B" w:rsidRPr="00B67509" w:rsidRDefault="0033719B" w:rsidP="0033719B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 wanneer: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marktonder</w:t>
            </w:r>
            <w:r>
              <w:rPr>
                <w:sz w:val="16"/>
              </w:rPr>
              <w:t>zoek meer reactief van aard is;</w:t>
            </w:r>
            <w:r>
              <w:rPr>
                <w:sz w:val="16"/>
              </w:rPr>
              <w:br/>
            </w:r>
            <w:r w:rsidRPr="00B67509">
              <w:rPr>
                <w:sz w:val="16"/>
              </w:rPr>
              <w:t>Leveranciers en assortimenten staan in belangrijke mate vast. Advies voor aanpassing assortiment vindt plaats op basis van door leveranciers gemelde uitbreidingen. Het door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voeren van wijzigingen vindt plaats op basis van be</w:t>
            </w:r>
            <w:r>
              <w:rPr>
                <w:sz w:val="16"/>
              </w:rPr>
              <w:t>sluitvorming van het management;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leveranciersmanagement een st</w:t>
            </w:r>
            <w:r>
              <w:rPr>
                <w:sz w:val="16"/>
              </w:rPr>
              <w:t>erk operationeel karakter heeft;</w:t>
            </w:r>
            <w:r w:rsidRPr="00B67509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B67509">
              <w:rPr>
                <w:sz w:val="16"/>
              </w:rPr>
              <w:t xml:space="preserve">Er is vooral sprake van het reageren op, door interne afdelingen gemelde, excessen en het bewegen van </w:t>
            </w:r>
            <w:r>
              <w:rPr>
                <w:sz w:val="16"/>
              </w:rPr>
              <w:t>leveranciers om aan de contract</w:t>
            </w:r>
            <w:r w:rsidRPr="00B67509">
              <w:rPr>
                <w:sz w:val="16"/>
              </w:rPr>
              <w:t>verplichtingen te voldoen. Er is geen spra</w:t>
            </w:r>
            <w:r>
              <w:rPr>
                <w:sz w:val="16"/>
              </w:rPr>
              <w:t xml:space="preserve">ke van een actieve </w:t>
            </w:r>
            <w:proofErr w:type="spellStart"/>
            <w:r>
              <w:rPr>
                <w:sz w:val="16"/>
              </w:rPr>
              <w:t>vendor</w:t>
            </w:r>
            <w:proofErr w:type="spellEnd"/>
            <w:r>
              <w:rPr>
                <w:sz w:val="16"/>
              </w:rPr>
              <w:t xml:space="preserve"> rating;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sprake is van een beperkte (noodzaak tot) interne afstemming en begeleiding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omdat inkoop volgend is aan het primaire bedrijfsproces en de init</w:t>
            </w:r>
            <w:r>
              <w:rPr>
                <w:sz w:val="16"/>
              </w:rPr>
              <w:t xml:space="preserve">iatieven voor wijzigingen of ad </w:t>
            </w:r>
            <w:r w:rsidRPr="00B67509">
              <w:rPr>
                <w:sz w:val="16"/>
              </w:rPr>
              <w:t>hoc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zaken voortkomen uit de operationele</w:t>
            </w:r>
            <w:r>
              <w:rPr>
                <w:sz w:val="16"/>
              </w:rPr>
              <w:t xml:space="preserve"> afdelingen of het hoofdkantoor;</w:t>
            </w:r>
          </w:p>
          <w:p w:rsidR="0033719B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 verantwoordelijk is voor uitvoering van de werkzaamheden voor slechts een beperkt (en minder essentieel) deel van het assortiment.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3719B" w:rsidRPr="00AC4386" w:rsidRDefault="0033719B" w:rsidP="0033719B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L.9.I</w:t>
            </w:r>
          </w:p>
          <w:p w:rsidR="0033719B" w:rsidRPr="00AC4386" w:rsidRDefault="0033719B" w:rsidP="0033719B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33719B" w:rsidRPr="00AC4386" w:rsidRDefault="0033719B" w:rsidP="0033719B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INKOPER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3719B" w:rsidRPr="00B67509" w:rsidRDefault="0033719B" w:rsidP="0033719B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 wanneer: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er geen sprake is van een vakinhoudelijk leidinggevende waardoor de functie zelf dient te beschikken over ruime kennis van marktontwikkelingen, het inkoopproces, -condities, en -voorwaarden en hieromtrent adviserend en </w:t>
            </w:r>
            <w:proofErr w:type="spellStart"/>
            <w:r w:rsidRPr="00B67509">
              <w:rPr>
                <w:sz w:val="16"/>
              </w:rPr>
              <w:t>kaderschep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pend</w:t>
            </w:r>
            <w:proofErr w:type="spellEnd"/>
            <w:r w:rsidRPr="00B67509">
              <w:rPr>
                <w:sz w:val="16"/>
              </w:rPr>
              <w:t xml:space="preserve"> is voor de organisatie;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functie zelf verantwoordelijk is voor het volledige inkoop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 xml:space="preserve">proces (marktanalyse, afsluiten van raamovereenkomsten, </w:t>
            </w:r>
            <w:proofErr w:type="spellStart"/>
            <w:r w:rsidRPr="00B67509">
              <w:rPr>
                <w:sz w:val="16"/>
              </w:rPr>
              <w:t>vendor</w:t>
            </w:r>
            <w:proofErr w:type="spellEnd"/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 xml:space="preserve">rating en assortimentsbeheer) voor de gehele organisatie en er sprake is van een actief </w:t>
            </w:r>
            <w:proofErr w:type="spellStart"/>
            <w:r w:rsidRPr="00B67509">
              <w:rPr>
                <w:sz w:val="16"/>
              </w:rPr>
              <w:t>leveranciers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management</w:t>
            </w:r>
            <w:proofErr w:type="spellEnd"/>
            <w:r w:rsidRPr="00B67509">
              <w:rPr>
                <w:sz w:val="16"/>
              </w:rPr>
              <w:t xml:space="preserve"> vanu</w:t>
            </w:r>
            <w:r>
              <w:rPr>
                <w:sz w:val="16"/>
              </w:rPr>
              <w:t xml:space="preserve">it een </w:t>
            </w:r>
            <w:proofErr w:type="spellStart"/>
            <w:r>
              <w:rPr>
                <w:sz w:val="16"/>
              </w:rPr>
              <w:t>supply</w:t>
            </w:r>
            <w:proofErr w:type="spellEnd"/>
            <w:r>
              <w:rPr>
                <w:sz w:val="16"/>
              </w:rPr>
              <w:t xml:space="preserve"> chain-perspectief;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sprake is va</w:t>
            </w:r>
            <w:r>
              <w:rPr>
                <w:sz w:val="16"/>
              </w:rPr>
              <w:t>n</w:t>
            </w:r>
            <w:r w:rsidRPr="00B67509">
              <w:rPr>
                <w:sz w:val="16"/>
              </w:rPr>
              <w:t xml:space="preserve"> een actieve samenwerking en afstemming met de operationele afdelingen om de inkoop- en </w:t>
            </w:r>
            <w:proofErr w:type="spellStart"/>
            <w:r w:rsidRPr="00B67509">
              <w:rPr>
                <w:sz w:val="16"/>
              </w:rPr>
              <w:t>bestel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processen</w:t>
            </w:r>
            <w:proofErr w:type="spellEnd"/>
            <w:r w:rsidRPr="00B67509">
              <w:rPr>
                <w:sz w:val="16"/>
              </w:rPr>
              <w:t xml:space="preserve"> naadloos aan te laten s</w:t>
            </w:r>
            <w:r>
              <w:rPr>
                <w:sz w:val="16"/>
              </w:rPr>
              <w:t>luiten op de primaire processen;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de functie leiding </w:t>
            </w:r>
            <w:r w:rsidRPr="00B67509">
              <w:rPr>
                <w:sz w:val="16"/>
              </w:rPr>
              <w:t>geeft aan een groepje (administratief) medewerkers inkoop en acteert in een internationale omgeving of een omgeving waarin exclusiviteit/onder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scheiden</w:t>
            </w:r>
            <w:r>
              <w:rPr>
                <w:sz w:val="16"/>
              </w:rPr>
              <w:t xml:space="preserve">d vermogen </w:t>
            </w:r>
            <w:r w:rsidRPr="00B67509">
              <w:rPr>
                <w:sz w:val="16"/>
              </w:rPr>
              <w:t>van het assortiment een belangrijke factor is in het positioneren van de formule/organisatie.</w:t>
            </w:r>
          </w:p>
          <w:p w:rsidR="0033719B" w:rsidRPr="00B67509" w:rsidRDefault="0033719B" w:rsidP="0033719B">
            <w:pPr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33719B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3719B" w:rsidRPr="00B67509" w:rsidRDefault="0033719B" w:rsidP="0033719B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3719B" w:rsidRPr="00B67509" w:rsidRDefault="0033719B" w:rsidP="0033719B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3719B" w:rsidRPr="00B67509" w:rsidRDefault="0033719B" w:rsidP="0033719B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33719B" w:rsidRPr="001073D2" w:rsidRDefault="0033719B" w:rsidP="0033719B">
      <w:pPr>
        <w:spacing w:line="220" w:lineRule="atLeast"/>
      </w:pPr>
    </w:p>
    <w:sectPr w:rsidR="0033719B" w:rsidRPr="001073D2" w:rsidSect="0033719B">
      <w:headerReference w:type="default" r:id="rId8"/>
      <w:footerReference w:type="default" r:id="rId9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38" w:rsidRDefault="006305F6" w:rsidP="001073D2">
      <w:pPr>
        <w:spacing w:line="240" w:lineRule="auto"/>
      </w:pPr>
      <w:r>
        <w:separator/>
      </w:r>
    </w:p>
  </w:endnote>
  <w:endnote w:type="continuationSeparator" w:id="0">
    <w:p w:rsidR="00B86C38" w:rsidRDefault="006305F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9B" w:rsidRPr="00ED0D2F" w:rsidRDefault="0033719B" w:rsidP="0033719B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38" w:rsidRDefault="006305F6" w:rsidP="001073D2">
      <w:pPr>
        <w:spacing w:line="240" w:lineRule="auto"/>
      </w:pPr>
      <w:r>
        <w:separator/>
      </w:r>
    </w:p>
  </w:footnote>
  <w:footnote w:type="continuationSeparator" w:id="0">
    <w:p w:rsidR="00B86C38" w:rsidRDefault="006305F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9B" w:rsidRPr="004B5A50" w:rsidRDefault="0033719B" w:rsidP="0033719B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Inkoper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L.9.I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C05C4"/>
    <w:rsid w:val="001C05C4"/>
    <w:rsid w:val="0033719B"/>
    <w:rsid w:val="006305F6"/>
    <w:rsid w:val="00B86C38"/>
    <w:rsid w:val="00CC3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2235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2011-03-22T15:24:00Z</cp:lastPrinted>
  <dcterms:created xsi:type="dcterms:W3CDTF">2011-07-21T15:50:00Z</dcterms:created>
  <dcterms:modified xsi:type="dcterms:W3CDTF">2012-06-06T13:03:00Z</dcterms:modified>
</cp:coreProperties>
</file>