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914"/>
        <w:gridCol w:w="4914"/>
        <w:gridCol w:w="4914"/>
      </w:tblGrid>
      <w:tr w:rsidR="0025569D" w:rsidRPr="00B67509">
        <w:trPr>
          <w:trHeight w:val="284"/>
        </w:trPr>
        <w:tc>
          <w:tcPr>
            <w:tcW w:w="4914" w:type="dxa"/>
            <w:tcBorders>
              <w:bottom w:val="single" w:sz="4" w:space="0" w:color="auto"/>
            </w:tcBorders>
            <w:shd w:val="clear" w:color="auto" w:fill="B80526"/>
            <w:tcMar>
              <w:top w:w="28" w:type="dxa"/>
              <w:bottom w:w="28" w:type="dxa"/>
            </w:tcMar>
            <w:vAlign w:val="center"/>
          </w:tcPr>
          <w:p w:rsidR="008A2FFA" w:rsidRPr="00B67509" w:rsidRDefault="00EF3F64" w:rsidP="0025569D">
            <w:pPr>
              <w:spacing w:line="220" w:lineRule="atLeast"/>
              <w:jc w:val="center"/>
              <w:rPr>
                <w:b/>
                <w:color w:val="FFFFFF"/>
                <w:sz w:val="18"/>
              </w:rPr>
            </w:pPr>
            <w:r>
              <w:rPr>
                <w:b/>
                <w:color w:val="FFFFFF"/>
                <w:sz w:val="18"/>
              </w:rPr>
              <w:t xml:space="preserve">-  </w:t>
            </w:r>
            <w:r w:rsidRPr="00B67509">
              <w:rPr>
                <w:b/>
                <w:color w:val="FFFFFF"/>
                <w:sz w:val="18"/>
              </w:rPr>
              <w:t>VARIANT</w:t>
            </w:r>
          </w:p>
        </w:tc>
        <w:tc>
          <w:tcPr>
            <w:tcW w:w="4914" w:type="dxa"/>
            <w:shd w:val="clear" w:color="auto" w:fill="B80526"/>
            <w:tcMar>
              <w:top w:w="28" w:type="dxa"/>
              <w:bottom w:w="28" w:type="dxa"/>
            </w:tcMar>
            <w:vAlign w:val="center"/>
          </w:tcPr>
          <w:p w:rsidR="0025569D" w:rsidRPr="00A9384C" w:rsidRDefault="0025569D" w:rsidP="0025569D">
            <w:pPr>
              <w:spacing w:line="220" w:lineRule="atLeast"/>
              <w:jc w:val="center"/>
              <w:rPr>
                <w:b/>
                <w:caps/>
                <w:color w:val="FFFFFF"/>
                <w:sz w:val="18"/>
              </w:rPr>
            </w:pPr>
            <w:r>
              <w:rPr>
                <w:b/>
                <w:caps/>
                <w:color w:val="FFFFFF"/>
                <w:sz w:val="18"/>
              </w:rPr>
              <w:t>administratief medewerker inkoop</w:t>
            </w:r>
          </w:p>
        </w:tc>
        <w:tc>
          <w:tcPr>
            <w:tcW w:w="4914" w:type="dxa"/>
            <w:shd w:val="clear" w:color="auto" w:fill="B80526"/>
            <w:tcMar>
              <w:top w:w="28" w:type="dxa"/>
              <w:bottom w:w="28" w:type="dxa"/>
            </w:tcMar>
            <w:vAlign w:val="center"/>
          </w:tcPr>
          <w:p w:rsidR="0025569D" w:rsidRPr="00B67509" w:rsidRDefault="0025569D" w:rsidP="0025569D">
            <w:pPr>
              <w:spacing w:line="220" w:lineRule="atLeast"/>
              <w:jc w:val="center"/>
              <w:rPr>
                <w:b/>
                <w:color w:val="FFFFFF"/>
                <w:sz w:val="18"/>
              </w:rPr>
            </w:pPr>
            <w:r w:rsidRPr="00B67509">
              <w:rPr>
                <w:b/>
                <w:color w:val="FFFFFF"/>
                <w:sz w:val="18"/>
              </w:rPr>
              <w:t>+  VARIANT</w:t>
            </w:r>
          </w:p>
        </w:tc>
      </w:tr>
      <w:tr w:rsidR="0025569D" w:rsidRPr="00B67509">
        <w:trPr>
          <w:trHeight w:val="2286"/>
        </w:trPr>
        <w:tc>
          <w:tcPr>
            <w:tcW w:w="4914" w:type="dxa"/>
            <w:vMerge w:val="restart"/>
            <w:tcBorders>
              <w:top w:val="single" w:sz="4" w:space="0" w:color="auto"/>
            </w:tcBorders>
            <w:tcMar>
              <w:top w:w="113" w:type="dxa"/>
              <w:bottom w:w="113" w:type="dxa"/>
            </w:tcMar>
          </w:tcPr>
          <w:p w:rsidR="0025569D" w:rsidRPr="00B67509" w:rsidRDefault="0025569D" w:rsidP="0025569D">
            <w:pPr>
              <w:spacing w:line="200" w:lineRule="atLeast"/>
              <w:rPr>
                <w:sz w:val="16"/>
              </w:rPr>
            </w:pPr>
            <w:r w:rsidRPr="00B67509">
              <w:rPr>
                <w:sz w:val="16"/>
              </w:rPr>
              <w:t>Als de bedrijfsfunctie minder verantwoordelijkheden heeft, zoals wanneer de focus van de functie sterk administratief gericht is en derhalve enkel verantwoordelijk is voor het invoeren, beheren en controleren van gegevens in de artikelendatabase volgens vaste voorschriften en procedures.</w:t>
            </w:r>
          </w:p>
          <w:p w:rsidR="0025569D" w:rsidRPr="00B67509" w:rsidRDefault="0025569D" w:rsidP="0025569D">
            <w:pPr>
              <w:spacing w:line="200" w:lineRule="atLeast"/>
              <w:rPr>
                <w:sz w:val="16"/>
              </w:rPr>
            </w:pPr>
          </w:p>
        </w:tc>
        <w:tc>
          <w:tcPr>
            <w:tcW w:w="4914" w:type="dxa"/>
            <w:tcBorders>
              <w:bottom w:val="single" w:sz="4" w:space="0" w:color="auto"/>
            </w:tcBorders>
            <w:shd w:val="clear" w:color="auto" w:fill="D9D9D9"/>
            <w:tcMar>
              <w:top w:w="113" w:type="dxa"/>
              <w:bottom w:w="113" w:type="dxa"/>
            </w:tcMar>
          </w:tcPr>
          <w:p w:rsidR="0025569D" w:rsidRPr="00AC4386" w:rsidRDefault="0025569D" w:rsidP="0025569D">
            <w:pPr>
              <w:spacing w:line="200" w:lineRule="atLeast"/>
              <w:ind w:left="284" w:hanging="284"/>
              <w:jc w:val="center"/>
              <w:rPr>
                <w:sz w:val="16"/>
              </w:rPr>
            </w:pPr>
            <w:r w:rsidRPr="00AC4386">
              <w:rPr>
                <w:sz w:val="16"/>
              </w:rPr>
              <w:t>Dit niveau is omschreve</w:t>
            </w:r>
            <w:r>
              <w:rPr>
                <w:sz w:val="16"/>
              </w:rPr>
              <w:t>n in de referentiefunctie L.5.II</w:t>
            </w:r>
          </w:p>
          <w:p w:rsidR="0025569D" w:rsidRPr="00AC4386" w:rsidRDefault="0025569D" w:rsidP="0025569D">
            <w:pPr>
              <w:spacing w:line="200" w:lineRule="atLeast"/>
              <w:ind w:left="284" w:hanging="284"/>
              <w:jc w:val="center"/>
              <w:rPr>
                <w:sz w:val="16"/>
              </w:rPr>
            </w:pPr>
          </w:p>
          <w:p w:rsidR="0025569D" w:rsidRPr="00AC4386" w:rsidRDefault="0025569D" w:rsidP="0025569D">
            <w:pPr>
              <w:spacing w:line="200" w:lineRule="atLeast"/>
              <w:ind w:left="284" w:hanging="284"/>
              <w:jc w:val="center"/>
              <w:rPr>
                <w:sz w:val="16"/>
              </w:rPr>
            </w:pPr>
            <w:r>
              <w:rPr>
                <w:sz w:val="16"/>
              </w:rPr>
              <w:t>ADMINISTRATIEF MEDEWERKER INKOOP</w:t>
            </w:r>
          </w:p>
        </w:tc>
        <w:tc>
          <w:tcPr>
            <w:tcW w:w="4914" w:type="dxa"/>
            <w:vMerge w:val="restart"/>
            <w:tcMar>
              <w:top w:w="113" w:type="dxa"/>
              <w:bottom w:w="113" w:type="dxa"/>
            </w:tcMar>
          </w:tcPr>
          <w:p w:rsidR="0025569D" w:rsidRPr="00B67509" w:rsidRDefault="0025569D" w:rsidP="0025569D">
            <w:pPr>
              <w:spacing w:line="200" w:lineRule="atLeast"/>
              <w:rPr>
                <w:sz w:val="16"/>
              </w:rPr>
            </w:pPr>
            <w:r w:rsidRPr="00B67509">
              <w:rPr>
                <w:sz w:val="16"/>
              </w:rPr>
              <w:t xml:space="preserve">Als de bedrijfsfunctie meer verantwoordelijkheden heeft, zoals wanneer de functie: </w:t>
            </w:r>
          </w:p>
          <w:p w:rsidR="0025569D" w:rsidRPr="00B67509" w:rsidRDefault="0025569D" w:rsidP="0025569D">
            <w:pPr>
              <w:spacing w:line="200" w:lineRule="atLeast"/>
              <w:ind w:left="288" w:hanging="283"/>
              <w:rPr>
                <w:sz w:val="16"/>
              </w:rPr>
            </w:pPr>
            <w:r w:rsidRPr="00B67509">
              <w:rPr>
                <w:sz w:val="16"/>
              </w:rPr>
              <w:t>-</w:t>
            </w:r>
            <w:r w:rsidRPr="00B67509">
              <w:rPr>
                <w:sz w:val="16"/>
              </w:rPr>
              <w:tab/>
              <w:t>gericht is op het zelfstandig bestellen van artikelen op basis van o.m. afzetpatronen en vastgestelde veiligheidsvoorraden, rekening houdend met bijzondere omstandigheden. E.e.a. binnen de geldende (raam)contracten en vaststaande condities en procedures;</w:t>
            </w:r>
          </w:p>
          <w:p w:rsidR="0025569D" w:rsidRPr="00B67509" w:rsidRDefault="0025569D" w:rsidP="0025569D">
            <w:pPr>
              <w:spacing w:line="200" w:lineRule="atLeast"/>
              <w:ind w:left="288" w:hanging="283"/>
              <w:rPr>
                <w:sz w:val="16"/>
              </w:rPr>
            </w:pPr>
            <w:r w:rsidRPr="00B67509">
              <w:rPr>
                <w:sz w:val="16"/>
              </w:rPr>
              <w:t>-</w:t>
            </w:r>
            <w:r w:rsidRPr="00B67509">
              <w:rPr>
                <w:sz w:val="16"/>
              </w:rPr>
              <w:tab/>
              <w:t>de functie verantwoordelijk is voor het in opdracht zoeken naar en voorselecteren van (alternatieve) leveranciers op basis van vaststaande condities.</w:t>
            </w:r>
          </w:p>
        </w:tc>
      </w:tr>
      <w:tr w:rsidR="0025569D" w:rsidRPr="00B67509">
        <w:trPr>
          <w:trHeight w:val="1420"/>
        </w:trPr>
        <w:tc>
          <w:tcPr>
            <w:tcW w:w="4914" w:type="dxa"/>
            <w:vMerge/>
            <w:tcBorders>
              <w:bottom w:val="single" w:sz="4" w:space="0" w:color="auto"/>
            </w:tcBorders>
            <w:tcMar>
              <w:top w:w="113" w:type="dxa"/>
              <w:bottom w:w="113" w:type="dxa"/>
            </w:tcMar>
          </w:tcPr>
          <w:p w:rsidR="0025569D" w:rsidRPr="00B67509" w:rsidRDefault="0025569D" w:rsidP="0025569D">
            <w:pPr>
              <w:spacing w:line="200" w:lineRule="atLeast"/>
              <w:rPr>
                <w:sz w:val="16"/>
              </w:rPr>
            </w:pPr>
          </w:p>
        </w:tc>
        <w:tc>
          <w:tcPr>
            <w:tcW w:w="4914" w:type="dxa"/>
            <w:tcBorders>
              <w:bottom w:val="single" w:sz="4" w:space="0" w:color="auto"/>
            </w:tcBorders>
            <w:shd w:val="clear" w:color="auto" w:fill="D9D9D9"/>
            <w:tcMar>
              <w:top w:w="113" w:type="dxa"/>
              <w:bottom w:w="113" w:type="dxa"/>
            </w:tcMar>
          </w:tcPr>
          <w:p w:rsidR="0025569D" w:rsidRDefault="0025569D" w:rsidP="0025569D">
            <w:pPr>
              <w:spacing w:line="200" w:lineRule="atLeast"/>
              <w:rPr>
                <w:sz w:val="16"/>
              </w:rPr>
            </w:pPr>
            <w:r>
              <w:rPr>
                <w:sz w:val="16"/>
              </w:rPr>
              <w:t>Referentiefunctie handboek 2002</w:t>
            </w:r>
            <w:r w:rsidRPr="00B67509">
              <w:rPr>
                <w:sz w:val="16"/>
              </w:rPr>
              <w:t>:</w:t>
            </w:r>
          </w:p>
          <w:p w:rsidR="0025569D" w:rsidRDefault="0025569D" w:rsidP="0025569D">
            <w:pPr>
              <w:spacing w:line="200" w:lineRule="atLeast"/>
              <w:ind w:left="284" w:hanging="284"/>
              <w:rPr>
                <w:sz w:val="16"/>
              </w:rPr>
            </w:pPr>
            <w:r>
              <w:rPr>
                <w:sz w:val="16"/>
              </w:rPr>
              <w:t>-</w:t>
            </w:r>
            <w:r>
              <w:rPr>
                <w:sz w:val="16"/>
              </w:rPr>
              <w:tab/>
              <w:t>Medewerker inkoopadministratie (L.5.1)</w:t>
            </w:r>
          </w:p>
          <w:p w:rsidR="0025569D" w:rsidRDefault="0025569D" w:rsidP="0025569D">
            <w:pPr>
              <w:spacing w:line="200" w:lineRule="atLeast"/>
              <w:rPr>
                <w:sz w:val="16"/>
              </w:rPr>
            </w:pPr>
          </w:p>
        </w:tc>
        <w:tc>
          <w:tcPr>
            <w:tcW w:w="4914" w:type="dxa"/>
            <w:vMerge/>
            <w:tcBorders>
              <w:bottom w:val="single" w:sz="4" w:space="0" w:color="auto"/>
            </w:tcBorders>
            <w:tcMar>
              <w:top w:w="113" w:type="dxa"/>
              <w:bottom w:w="113" w:type="dxa"/>
            </w:tcMar>
          </w:tcPr>
          <w:p w:rsidR="0025569D" w:rsidRPr="00B67509" w:rsidRDefault="0025569D" w:rsidP="0025569D">
            <w:pPr>
              <w:spacing w:line="200" w:lineRule="atLeast"/>
              <w:rPr>
                <w:sz w:val="16"/>
              </w:rPr>
            </w:pPr>
          </w:p>
        </w:tc>
      </w:tr>
      <w:tr w:rsidR="0025569D" w:rsidRPr="00B67509">
        <w:tblPrEx>
          <w:tblLook w:val="04A0" w:firstRow="1" w:lastRow="0" w:firstColumn="1" w:lastColumn="0" w:noHBand="0" w:noVBand="1"/>
        </w:tblPrEx>
        <w:trPr>
          <w:trHeight w:val="284"/>
        </w:trPr>
        <w:tc>
          <w:tcPr>
            <w:tcW w:w="4914" w:type="dxa"/>
            <w:shd w:val="clear" w:color="auto" w:fill="B80526"/>
            <w:tcMar>
              <w:top w:w="28" w:type="dxa"/>
              <w:bottom w:w="28" w:type="dxa"/>
            </w:tcMar>
            <w:vAlign w:val="center"/>
          </w:tcPr>
          <w:p w:rsidR="0025569D" w:rsidRPr="00B67509" w:rsidRDefault="0025569D" w:rsidP="0025569D">
            <w:pPr>
              <w:spacing w:line="220" w:lineRule="atLeast"/>
              <w:jc w:val="center"/>
              <w:rPr>
                <w:b/>
                <w:color w:val="FFFFFF"/>
                <w:sz w:val="18"/>
              </w:rPr>
            </w:pPr>
            <w:r>
              <w:rPr>
                <w:b/>
                <w:color w:val="FFFFFF"/>
                <w:sz w:val="18"/>
              </w:rPr>
              <w:t>4</w:t>
            </w:r>
          </w:p>
        </w:tc>
        <w:tc>
          <w:tcPr>
            <w:tcW w:w="4914" w:type="dxa"/>
            <w:shd w:val="clear" w:color="auto" w:fill="B80526"/>
            <w:tcMar>
              <w:top w:w="28" w:type="dxa"/>
              <w:bottom w:w="28" w:type="dxa"/>
            </w:tcMar>
            <w:vAlign w:val="center"/>
          </w:tcPr>
          <w:p w:rsidR="0025569D" w:rsidRPr="00B67509" w:rsidRDefault="0025569D" w:rsidP="0025569D">
            <w:pPr>
              <w:spacing w:line="220" w:lineRule="atLeast"/>
              <w:jc w:val="center"/>
              <w:rPr>
                <w:b/>
                <w:color w:val="FFFFFF"/>
                <w:sz w:val="18"/>
              </w:rPr>
            </w:pPr>
            <w:r>
              <w:rPr>
                <w:b/>
                <w:color w:val="FFFFFF"/>
                <w:sz w:val="18"/>
              </w:rPr>
              <w:t>5 (referentie)</w:t>
            </w:r>
          </w:p>
        </w:tc>
        <w:tc>
          <w:tcPr>
            <w:tcW w:w="4914" w:type="dxa"/>
            <w:shd w:val="clear" w:color="auto" w:fill="B80526"/>
            <w:tcMar>
              <w:top w:w="28" w:type="dxa"/>
              <w:bottom w:w="28" w:type="dxa"/>
            </w:tcMar>
            <w:vAlign w:val="center"/>
          </w:tcPr>
          <w:p w:rsidR="0025569D" w:rsidRPr="00B67509" w:rsidRDefault="0025569D" w:rsidP="0025569D">
            <w:pPr>
              <w:spacing w:line="220" w:lineRule="atLeast"/>
              <w:jc w:val="center"/>
              <w:rPr>
                <w:b/>
                <w:color w:val="FFFFFF"/>
                <w:sz w:val="18"/>
              </w:rPr>
            </w:pPr>
            <w:r>
              <w:rPr>
                <w:b/>
                <w:color w:val="FFFFFF"/>
                <w:sz w:val="18"/>
              </w:rPr>
              <w:t>6</w:t>
            </w:r>
          </w:p>
        </w:tc>
      </w:tr>
    </w:tbl>
    <w:p w:rsidR="0025569D" w:rsidRPr="001073D2" w:rsidRDefault="0025569D" w:rsidP="0025569D">
      <w:pPr>
        <w:spacing w:line="220" w:lineRule="atLeast"/>
      </w:pPr>
    </w:p>
    <w:sectPr w:rsidR="0025569D" w:rsidRPr="001073D2" w:rsidSect="0025569D">
      <w:headerReference w:type="even" r:id="rId8"/>
      <w:headerReference w:type="default" r:id="rId9"/>
      <w:footerReference w:type="even" r:id="rId10"/>
      <w:footerReference w:type="default" r:id="rId11"/>
      <w:headerReference w:type="first" r:id="rId12"/>
      <w:footerReference w:type="first" r:id="rId13"/>
      <w:pgSz w:w="16838" w:h="11899" w:orient="landscape"/>
      <w:pgMar w:top="1701" w:right="1134"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4A" w:rsidRDefault="00EF3F64" w:rsidP="001073D2">
      <w:pPr>
        <w:spacing w:line="240" w:lineRule="auto"/>
      </w:pPr>
      <w:r>
        <w:separator/>
      </w:r>
    </w:p>
  </w:endnote>
  <w:endnote w:type="continuationSeparator" w:id="0">
    <w:p w:rsidR="00084D4A" w:rsidRDefault="00EF3F64"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58" w:rsidRDefault="0062495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9D" w:rsidRPr="00624958" w:rsidRDefault="0025569D" w:rsidP="00624958">
    <w:pPr>
      <w:pStyle w:val="Voettekst"/>
    </w:pPr>
    <w:bookmarkStart w:id="0" w:name="_GoBack"/>
    <w:bookmarkEnd w:id="0"/>
    <w:r w:rsidRPr="0062495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58" w:rsidRDefault="0062495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4A" w:rsidRDefault="00EF3F64" w:rsidP="001073D2">
      <w:pPr>
        <w:spacing w:line="240" w:lineRule="auto"/>
      </w:pPr>
      <w:r>
        <w:separator/>
      </w:r>
    </w:p>
  </w:footnote>
  <w:footnote w:type="continuationSeparator" w:id="0">
    <w:p w:rsidR="00084D4A" w:rsidRDefault="00EF3F64"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58" w:rsidRDefault="0062495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9D" w:rsidRPr="004B5A50" w:rsidRDefault="0025569D" w:rsidP="0025569D">
    <w:pPr>
      <w:pStyle w:val="Koptekst"/>
      <w:tabs>
        <w:tab w:val="clear" w:pos="8306"/>
        <w:tab w:val="right" w:pos="14601"/>
      </w:tabs>
      <w:ind w:right="0"/>
      <w:jc w:val="left"/>
    </w:pPr>
    <w:r w:rsidRPr="004B5A50">
      <w:rPr>
        <w:lang w:eastAsia="nl-NL"/>
      </w:rPr>
      <w:t xml:space="preserve">Indelingshulpmiddel bij meer of minder verantwoordelijkheden dan de referentiefunctie: </w:t>
    </w:r>
    <w:r>
      <w:rPr>
        <w:lang w:eastAsia="nl-NL"/>
      </w:rPr>
      <w:t>Administratief medewerker inkoop</w:t>
    </w:r>
    <w:r w:rsidRPr="004B5A50">
      <w:rPr>
        <w:caps/>
        <w:lang w:eastAsia="nl-NL"/>
      </w:rPr>
      <w:tab/>
    </w:r>
    <w:r w:rsidRPr="004B5A50">
      <w:rPr>
        <w:lang w:eastAsia="nl-NL"/>
      </w:rPr>
      <w:t>F</w:t>
    </w:r>
    <w:r>
      <w:rPr>
        <w:lang w:eastAsia="nl-NL"/>
      </w:rPr>
      <w:t>unctienummer:  L.5.II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58" w:rsidRDefault="0062495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1FE"/>
    <w:multiLevelType w:val="hybridMultilevel"/>
    <w:tmpl w:val="0BD8C79A"/>
    <w:lvl w:ilvl="0" w:tplc="A5262794">
      <w:start w:val="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D74271D"/>
    <w:multiLevelType w:val="hybridMultilevel"/>
    <w:tmpl w:val="AF783032"/>
    <w:lvl w:ilvl="0" w:tplc="D75039E0">
      <w:start w:val="2"/>
      <w:numFmt w:val="bullet"/>
      <w:lvlText w:val="-"/>
      <w:lvlJc w:val="left"/>
      <w:pPr>
        <w:tabs>
          <w:tab w:val="num" w:pos="502"/>
        </w:tabs>
        <w:ind w:left="502" w:hanging="360"/>
      </w:pPr>
      <w:rPr>
        <w:rFonts w:ascii="Arial" w:eastAsia="Times New Roman" w:hAnsi="Arial" w:hint="default"/>
        <w:w w:val="0"/>
      </w:rPr>
    </w:lvl>
    <w:lvl w:ilvl="1" w:tplc="00030409" w:tentative="1">
      <w:start w:val="1"/>
      <w:numFmt w:val="bullet"/>
      <w:lvlText w:val="o"/>
      <w:lvlJc w:val="left"/>
      <w:pPr>
        <w:tabs>
          <w:tab w:val="num" w:pos="1222"/>
        </w:tabs>
        <w:ind w:left="1222" w:hanging="360"/>
      </w:pPr>
      <w:rPr>
        <w:rFonts w:ascii="Courier New" w:hAnsi="Courier New" w:hint="default"/>
      </w:rPr>
    </w:lvl>
    <w:lvl w:ilvl="2" w:tplc="00050409" w:tentative="1">
      <w:start w:val="1"/>
      <w:numFmt w:val="bullet"/>
      <w:lvlText w:val=""/>
      <w:lvlJc w:val="left"/>
      <w:pPr>
        <w:tabs>
          <w:tab w:val="num" w:pos="1942"/>
        </w:tabs>
        <w:ind w:left="1942" w:hanging="360"/>
      </w:pPr>
      <w:rPr>
        <w:rFonts w:ascii="Wingdings" w:hAnsi="Wingdings" w:hint="default"/>
      </w:rPr>
    </w:lvl>
    <w:lvl w:ilvl="3" w:tplc="00010409" w:tentative="1">
      <w:start w:val="1"/>
      <w:numFmt w:val="bullet"/>
      <w:lvlText w:val=""/>
      <w:lvlJc w:val="left"/>
      <w:pPr>
        <w:tabs>
          <w:tab w:val="num" w:pos="2662"/>
        </w:tabs>
        <w:ind w:left="2662" w:hanging="360"/>
      </w:pPr>
      <w:rPr>
        <w:rFonts w:ascii="Symbol" w:hAnsi="Symbol" w:hint="default"/>
      </w:rPr>
    </w:lvl>
    <w:lvl w:ilvl="4" w:tplc="00030409" w:tentative="1">
      <w:start w:val="1"/>
      <w:numFmt w:val="bullet"/>
      <w:lvlText w:val="o"/>
      <w:lvlJc w:val="left"/>
      <w:pPr>
        <w:tabs>
          <w:tab w:val="num" w:pos="3382"/>
        </w:tabs>
        <w:ind w:left="3382" w:hanging="360"/>
      </w:pPr>
      <w:rPr>
        <w:rFonts w:ascii="Courier New" w:hAnsi="Courier New" w:hint="default"/>
      </w:rPr>
    </w:lvl>
    <w:lvl w:ilvl="5" w:tplc="00050409" w:tentative="1">
      <w:start w:val="1"/>
      <w:numFmt w:val="bullet"/>
      <w:lvlText w:val=""/>
      <w:lvlJc w:val="left"/>
      <w:pPr>
        <w:tabs>
          <w:tab w:val="num" w:pos="4102"/>
        </w:tabs>
        <w:ind w:left="4102" w:hanging="360"/>
      </w:pPr>
      <w:rPr>
        <w:rFonts w:ascii="Wingdings" w:hAnsi="Wingdings" w:hint="default"/>
      </w:rPr>
    </w:lvl>
    <w:lvl w:ilvl="6" w:tplc="00010409" w:tentative="1">
      <w:start w:val="1"/>
      <w:numFmt w:val="bullet"/>
      <w:lvlText w:val=""/>
      <w:lvlJc w:val="left"/>
      <w:pPr>
        <w:tabs>
          <w:tab w:val="num" w:pos="4822"/>
        </w:tabs>
        <w:ind w:left="4822" w:hanging="360"/>
      </w:pPr>
      <w:rPr>
        <w:rFonts w:ascii="Symbol" w:hAnsi="Symbol" w:hint="default"/>
      </w:rPr>
    </w:lvl>
    <w:lvl w:ilvl="7" w:tplc="00030409" w:tentative="1">
      <w:start w:val="1"/>
      <w:numFmt w:val="bullet"/>
      <w:lvlText w:val="o"/>
      <w:lvlJc w:val="left"/>
      <w:pPr>
        <w:tabs>
          <w:tab w:val="num" w:pos="5542"/>
        </w:tabs>
        <w:ind w:left="5542" w:hanging="360"/>
      </w:pPr>
      <w:rPr>
        <w:rFonts w:ascii="Courier New" w:hAnsi="Courier New" w:hint="default"/>
      </w:rPr>
    </w:lvl>
    <w:lvl w:ilvl="8" w:tplc="00050409"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D5605"/>
    <w:rsid w:val="00084D4A"/>
    <w:rsid w:val="0025569D"/>
    <w:rsid w:val="005D5605"/>
    <w:rsid w:val="00624958"/>
    <w:rsid w:val="00EF3F6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899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1027</CharactersWithSpaces>
  <SharedDoc>false</SharedDoc>
  <HLinks>
    <vt:vector size="6" baseType="variant">
      <vt:variant>
        <vt:i4>3997786</vt:i4>
      </vt:variant>
      <vt:variant>
        <vt:i4>-1</vt:i4>
      </vt:variant>
      <vt:variant>
        <vt:i4>2049</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2011-03-22T15:19:00Z</cp:lastPrinted>
  <dcterms:created xsi:type="dcterms:W3CDTF">2011-07-21T15:50:00Z</dcterms:created>
  <dcterms:modified xsi:type="dcterms:W3CDTF">2012-06-06T13:02:00Z</dcterms:modified>
</cp:coreProperties>
</file>