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023FAD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48B6" w:rsidRPr="006925C7" w:rsidRDefault="00D648B6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</w:t>
            </w:r>
            <w:r>
              <w:rPr>
                <w:b/>
                <w:caps/>
                <w:color w:val="FFFFFF"/>
                <w:sz w:val="18"/>
              </w:rPr>
              <w:t>E</w:t>
            </w:r>
            <w:r w:rsidRPr="006925C7">
              <w:rPr>
                <w:b/>
                <w:caps/>
                <w:color w:val="FFFFFF"/>
                <w:sz w:val="18"/>
              </w:rPr>
              <w:t>werker technische dienst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521AEC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accommodatie</w:t>
            </w:r>
          </w:p>
          <w:p w:rsidR="00023FAD" w:rsidRPr="00521AEC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023FAD" w:rsidRPr="004C3EC4" w:rsidRDefault="00023FAD" w:rsidP="00023FAD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algemeen onderhoud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 en vergaderaccommodatie met een veelheid aan specifieke voorzieningen als: zwemb</w:t>
            </w:r>
            <w:r>
              <w:rPr>
                <w:sz w:val="16"/>
              </w:rPr>
              <w:t>ad(en), sauna’s, fitnessruimte.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023FAD" w:rsidRPr="004C3EC4" w:rsidRDefault="00023FAD" w:rsidP="00023FAD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Hoofd technische dienst</w:t>
            </w: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positie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1D52BD">
              <w:rPr>
                <w:sz w:val="16"/>
              </w:rPr>
              <w:t>V</w:t>
            </w:r>
            <w:r w:rsidR="001D52BD" w:rsidRPr="00597433">
              <w:rPr>
                <w:sz w:val="16"/>
              </w:rPr>
              <w:t>erzorgt het 1</w:t>
            </w:r>
            <w:r w:rsidR="001D52BD" w:rsidRPr="00F85513">
              <w:rPr>
                <w:sz w:val="16"/>
                <w:vertAlign w:val="superscript"/>
              </w:rPr>
              <w:t>e</w:t>
            </w:r>
            <w:r w:rsidR="001D52BD">
              <w:rPr>
                <w:sz w:val="16"/>
              </w:rPr>
              <w:t xml:space="preserve"> </w:t>
            </w:r>
            <w:proofErr w:type="spellStart"/>
            <w:r w:rsidR="001D52BD" w:rsidRPr="00597433">
              <w:rPr>
                <w:sz w:val="16"/>
              </w:rPr>
              <w:t>lijns</w:t>
            </w:r>
            <w:proofErr w:type="spellEnd"/>
            <w:r w:rsidR="001D52BD" w:rsidRPr="00597433">
              <w:rPr>
                <w:sz w:val="16"/>
              </w:rPr>
              <w:t xml:space="preserve"> onderhoud aan reguliere </w:t>
            </w:r>
            <w:proofErr w:type="spellStart"/>
            <w:r w:rsidR="001D52BD" w:rsidRPr="00597433">
              <w:rPr>
                <w:sz w:val="16"/>
              </w:rPr>
              <w:t>gebouwgebonden</w:t>
            </w:r>
            <w:proofErr w:type="spellEnd"/>
            <w:r w:rsidR="001D52BD" w:rsidRPr="00597433">
              <w:rPr>
                <w:sz w:val="16"/>
              </w:rPr>
              <w:t xml:space="preserve"> voorzieningen (airconditioning, koeling, e.d.). Gecertificeerd onderhoud (liften, sprinklers en airconditioning e.d.) is uitbesteed.</w:t>
            </w:r>
            <w:r w:rsidR="001D52BD">
              <w:rPr>
                <w:sz w:val="16"/>
              </w:rPr>
              <w:t xml:space="preserve"> I</w:t>
            </w:r>
            <w:r w:rsidRPr="00597433">
              <w:rPr>
                <w:sz w:val="16"/>
              </w:rPr>
              <w:t>s het eerste aanspreekpunt voor buitenfirma’s bij verdergaande storingen.</w:t>
            </w:r>
          </w:p>
          <w:p w:rsidR="00023FAD" w:rsidRPr="00597433" w:rsidRDefault="00023FAD" w:rsidP="00023FAD">
            <w:pPr>
              <w:spacing w:line="160" w:lineRule="atLeast"/>
              <w:ind w:left="284" w:right="-88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597433">
              <w:rPr>
                <w:sz w:val="16"/>
              </w:rPr>
              <w:t>eeft veelal een (beperkt) aantal technische assistenten (</w:t>
            </w:r>
            <w:r>
              <w:rPr>
                <w:sz w:val="16"/>
              </w:rPr>
              <w:t>b.v.</w:t>
            </w:r>
            <w:r w:rsidRPr="00597433">
              <w:rPr>
                <w:sz w:val="16"/>
              </w:rPr>
              <w:t xml:space="preserve"> medewerker algemeen onderhoud of medewerker technische dienst I).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i/>
                <w:sz w:val="16"/>
              </w:rPr>
            </w:pP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1D52BD" w:rsidRPr="00597433" w:rsidRDefault="001D52BD" w:rsidP="001D52B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597433">
              <w:rPr>
                <w:sz w:val="16"/>
              </w:rPr>
              <w:t>akinhoudelijk toezicht vindt plaats op afstand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1D52BD">
              <w:rPr>
                <w:sz w:val="16"/>
              </w:rPr>
              <w:t>B</w:t>
            </w:r>
            <w:r w:rsidR="001D52BD" w:rsidRPr="00597433">
              <w:rPr>
                <w:sz w:val="16"/>
              </w:rPr>
              <w:t>eoordeelt en past de precieze aanpak en uitvoeringswijze aan de situatie ter plekke aan</w:t>
            </w:r>
            <w:r w:rsidR="001D52BD">
              <w:rPr>
                <w:sz w:val="16"/>
              </w:rPr>
              <w:t xml:space="preserve">. </w:t>
            </w:r>
            <w:r w:rsidR="008674EB">
              <w:rPr>
                <w:sz w:val="16"/>
              </w:rPr>
              <w:t xml:space="preserve">De </w:t>
            </w:r>
            <w:r w:rsidRPr="00597433">
              <w:rPr>
                <w:sz w:val="16"/>
              </w:rPr>
              <w:t>nadruk ligt op het combineren van storingen om de personeelsinzet te optimaliseren en het ongemak voor gasten te minimaliseren</w:t>
            </w:r>
            <w:r>
              <w:rPr>
                <w:sz w:val="16"/>
              </w:rPr>
              <w:t>.</w:t>
            </w:r>
          </w:p>
          <w:p w:rsidR="00023FAD" w:rsidRPr="00597433" w:rsidRDefault="004A587A" w:rsidP="004A587A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dviseert bedrijfsleiding t.a.v. in te zetten kwali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teiten (materialen) op basis van praktijkinzicht in klachten-/storingsverloop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dviseer</w:t>
            </w:r>
            <w:r>
              <w:rPr>
                <w:sz w:val="16"/>
              </w:rPr>
              <w:t xml:space="preserve">t vanuit het verminderen van ad </w:t>
            </w:r>
            <w:r w:rsidRPr="00597433">
              <w:rPr>
                <w:sz w:val="16"/>
              </w:rPr>
              <w:t>hoc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situaties, een kosten/opbrengstenoptimalisatie en gastcomfort/beleving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i/>
                <w:sz w:val="16"/>
              </w:rPr>
            </w:pPr>
          </w:p>
        </w:tc>
      </w:tr>
      <w:tr w:rsidR="00023FAD" w:rsidRPr="004C3EC4">
        <w:tc>
          <w:tcPr>
            <w:tcW w:w="1732" w:type="dxa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7F31B6">
              <w:rPr>
                <w:sz w:val="16"/>
              </w:rPr>
              <w:t>Beheerst de gangbare technieken van één speci</w:t>
            </w:r>
            <w:r w:rsidRPr="007F31B6">
              <w:rPr>
                <w:sz w:val="16"/>
              </w:rPr>
              <w:softHyphen/>
              <w:t>fiek vakgebied op vakopleidingsniveau 4 en</w:t>
            </w:r>
            <w:r>
              <w:rPr>
                <w:sz w:val="16"/>
              </w:rPr>
              <w:t xml:space="preserve"> praktijkkennis op </w:t>
            </w:r>
            <w:r w:rsidRPr="007F31B6">
              <w:rPr>
                <w:sz w:val="16"/>
              </w:rPr>
              <w:t xml:space="preserve"> één of twee aanvullende vakgebieden op vakopleidingsniveau 3.</w:t>
            </w:r>
          </w:p>
          <w:p w:rsidR="00023FAD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4A587A" w:rsidRPr="00784BA6" w:rsidRDefault="004A587A" w:rsidP="004A587A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784BA6">
              <w:rPr>
                <w:sz w:val="16"/>
              </w:rPr>
              <w:t xml:space="preserve">oldoet aan de eisen zoals weergegeven in de NEN 3140 op het niveau van </w:t>
            </w:r>
            <w:proofErr w:type="spellStart"/>
            <w:r w:rsidRPr="00784BA6">
              <w:rPr>
                <w:sz w:val="16"/>
              </w:rPr>
              <w:t>installatie</w:t>
            </w:r>
            <w:r>
              <w:rPr>
                <w:sz w:val="16"/>
              </w:rPr>
              <w:softHyphen/>
            </w:r>
            <w:r w:rsidRPr="00784BA6">
              <w:rPr>
                <w:sz w:val="16"/>
              </w:rPr>
              <w:t>verantwoordelijke</w:t>
            </w:r>
            <w:proofErr w:type="spellEnd"/>
            <w:r>
              <w:rPr>
                <w:sz w:val="16"/>
              </w:rPr>
              <w:t>.</w:t>
            </w:r>
          </w:p>
          <w:p w:rsidR="004A587A" w:rsidRPr="00784BA6" w:rsidRDefault="004A587A" w:rsidP="004A587A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4A587A" w:rsidP="004A587A">
            <w:pPr>
              <w:spacing w:line="240" w:lineRule="auto"/>
              <w:ind w:left="284" w:hanging="284"/>
              <w:rPr>
                <w:sz w:val="16"/>
              </w:rPr>
            </w:pPr>
            <w:r w:rsidRPr="00784BA6">
              <w:rPr>
                <w:sz w:val="16"/>
              </w:rPr>
              <w:t>-</w:t>
            </w:r>
            <w:r w:rsidRPr="00784BA6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784BA6">
              <w:rPr>
                <w:sz w:val="16"/>
              </w:rPr>
              <w:t>oldoet aan de eisen die gesteld worden aan een brandmeldcentrale opgeleide persoon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sz w:val="16"/>
              </w:rPr>
            </w:pPr>
          </w:p>
        </w:tc>
      </w:tr>
      <w:tr w:rsidR="00023FAD" w:rsidRPr="004C3EC4">
        <w:tc>
          <w:tcPr>
            <w:tcW w:w="1732" w:type="dxa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sz w:val="16"/>
              </w:rPr>
            </w:pPr>
          </w:p>
        </w:tc>
      </w:tr>
      <w:tr w:rsidR="00023FAD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</w:tr>
    </w:tbl>
    <w:p w:rsidR="00023FAD" w:rsidRPr="00713988" w:rsidRDefault="00023FAD" w:rsidP="00023FAD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023FAD" w:rsidRPr="00713988" w:rsidSect="0002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B6" w:rsidRDefault="00D648B6" w:rsidP="001073D2">
      <w:pPr>
        <w:spacing w:line="240" w:lineRule="auto"/>
      </w:pPr>
      <w:r>
        <w:separator/>
      </w:r>
    </w:p>
  </w:endnote>
  <w:endnote w:type="continuationSeparator" w:id="0">
    <w:p w:rsidR="00D648B6" w:rsidRDefault="00D648B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22" w:rsidRDefault="002E72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AD" w:rsidRPr="002E7222" w:rsidRDefault="00023FAD" w:rsidP="002E7222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22" w:rsidRDefault="002E72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B6" w:rsidRDefault="00D648B6" w:rsidP="001073D2">
      <w:pPr>
        <w:spacing w:line="240" w:lineRule="auto"/>
      </w:pPr>
      <w:r>
        <w:separator/>
      </w:r>
    </w:p>
  </w:footnote>
  <w:footnote w:type="continuationSeparator" w:id="0">
    <w:p w:rsidR="00D648B6" w:rsidRDefault="00D648B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22" w:rsidRDefault="002E72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AD" w:rsidRPr="002E7222" w:rsidRDefault="00023FAD" w:rsidP="00023FAD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technische dienst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T.6.I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22" w:rsidRDefault="002E72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5513"/>
    <w:rsid w:val="00023FAD"/>
    <w:rsid w:val="001D52BD"/>
    <w:rsid w:val="002E7222"/>
    <w:rsid w:val="00323623"/>
    <w:rsid w:val="004A587A"/>
    <w:rsid w:val="004D07D7"/>
    <w:rsid w:val="00507717"/>
    <w:rsid w:val="008674EB"/>
    <w:rsid w:val="00D648B6"/>
    <w:rsid w:val="00F85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2011-03-23T15:13:00Z</cp:lastPrinted>
  <dcterms:created xsi:type="dcterms:W3CDTF">2011-07-21T15:50:00Z</dcterms:created>
  <dcterms:modified xsi:type="dcterms:W3CDTF">2012-06-06T13:23:00Z</dcterms:modified>
</cp:coreProperties>
</file>