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14"/>
        <w:gridCol w:w="4914"/>
        <w:gridCol w:w="4914"/>
      </w:tblGrid>
      <w:tr w:rsidR="002E0288" w:rsidRPr="00B67509">
        <w:trPr>
          <w:trHeight w:val="284"/>
        </w:trPr>
        <w:tc>
          <w:tcPr>
            <w:tcW w:w="4914" w:type="dxa"/>
            <w:tcBorders>
              <w:bottom w:val="single" w:sz="4" w:space="0" w:color="auto"/>
            </w:tcBorders>
            <w:shd w:val="clear" w:color="auto" w:fill="B80526"/>
            <w:tcMar>
              <w:top w:w="28" w:type="dxa"/>
              <w:bottom w:w="28" w:type="dxa"/>
            </w:tcMar>
            <w:vAlign w:val="center"/>
          </w:tcPr>
          <w:p w:rsidR="008D0B5D" w:rsidRPr="00B67509" w:rsidRDefault="008D0B5D" w:rsidP="002E0288">
            <w:pPr>
              <w:spacing w:line="220" w:lineRule="atLeast"/>
              <w:jc w:val="center"/>
              <w:rPr>
                <w:b/>
                <w:color w:val="FFFFFF"/>
                <w:sz w:val="18"/>
              </w:rPr>
            </w:pPr>
            <w:r>
              <w:rPr>
                <w:b/>
                <w:color w:val="FFFFFF"/>
                <w:sz w:val="18"/>
              </w:rPr>
              <w:t xml:space="preserve">-  </w:t>
            </w:r>
            <w:r w:rsidRPr="00B67509">
              <w:rPr>
                <w:b/>
                <w:color w:val="FFFFFF"/>
                <w:sz w:val="18"/>
              </w:rPr>
              <w:t>VARIANT</w:t>
            </w:r>
          </w:p>
        </w:tc>
        <w:tc>
          <w:tcPr>
            <w:tcW w:w="4914" w:type="dxa"/>
            <w:shd w:val="clear" w:color="auto" w:fill="B80526"/>
            <w:tcMar>
              <w:top w:w="28" w:type="dxa"/>
              <w:bottom w:w="28" w:type="dxa"/>
            </w:tcMar>
            <w:vAlign w:val="center"/>
          </w:tcPr>
          <w:p w:rsidR="002E0288" w:rsidRPr="00A9384C" w:rsidRDefault="002E0288" w:rsidP="002E0288">
            <w:pPr>
              <w:spacing w:line="220" w:lineRule="atLeast"/>
              <w:jc w:val="center"/>
              <w:rPr>
                <w:b/>
                <w:caps/>
                <w:color w:val="FFFFFF"/>
                <w:sz w:val="18"/>
              </w:rPr>
            </w:pPr>
            <w:r>
              <w:rPr>
                <w:b/>
                <w:caps/>
                <w:color w:val="FFFFFF"/>
                <w:sz w:val="18"/>
              </w:rPr>
              <w:t>Manager rooms division</w:t>
            </w:r>
          </w:p>
        </w:tc>
        <w:tc>
          <w:tcPr>
            <w:tcW w:w="4914" w:type="dxa"/>
            <w:shd w:val="clear" w:color="auto" w:fill="B80526"/>
            <w:tcMar>
              <w:top w:w="28" w:type="dxa"/>
              <w:bottom w:w="28" w:type="dxa"/>
            </w:tcMar>
            <w:vAlign w:val="center"/>
          </w:tcPr>
          <w:p w:rsidR="002E0288" w:rsidRPr="00B67509" w:rsidRDefault="002E0288" w:rsidP="002E0288">
            <w:pPr>
              <w:spacing w:line="220" w:lineRule="atLeast"/>
              <w:jc w:val="center"/>
              <w:rPr>
                <w:b/>
                <w:color w:val="FFFFFF"/>
                <w:sz w:val="18"/>
              </w:rPr>
            </w:pPr>
            <w:r w:rsidRPr="00B67509">
              <w:rPr>
                <w:b/>
                <w:color w:val="FFFFFF"/>
                <w:sz w:val="18"/>
              </w:rPr>
              <w:t>+  VARIANT</w:t>
            </w:r>
          </w:p>
        </w:tc>
      </w:tr>
      <w:tr w:rsidR="002E0288" w:rsidRPr="00B67509">
        <w:trPr>
          <w:trHeight w:val="2286"/>
        </w:trPr>
        <w:tc>
          <w:tcPr>
            <w:tcW w:w="4914" w:type="dxa"/>
            <w:vMerge w:val="restart"/>
            <w:tcBorders>
              <w:top w:val="single" w:sz="4" w:space="0" w:color="auto"/>
            </w:tcBorders>
            <w:tcMar>
              <w:top w:w="113" w:type="dxa"/>
              <w:bottom w:w="113" w:type="dxa"/>
            </w:tcMar>
          </w:tcPr>
          <w:p w:rsidR="002E0288" w:rsidRPr="00B67509" w:rsidRDefault="002E0288" w:rsidP="002E0288">
            <w:pPr>
              <w:spacing w:line="200" w:lineRule="atLeast"/>
              <w:rPr>
                <w:sz w:val="16"/>
              </w:rPr>
            </w:pPr>
            <w:r w:rsidRPr="00B67509">
              <w:rPr>
                <w:sz w:val="16"/>
              </w:rPr>
              <w:t>Er is sprake van een inschaling in een lagere groep als de bedrijfsfunctie minder verantwoorde</w:t>
            </w:r>
            <w:r>
              <w:rPr>
                <w:sz w:val="16"/>
              </w:rPr>
              <w:softHyphen/>
            </w:r>
            <w:r w:rsidRPr="00B67509">
              <w:rPr>
                <w:sz w:val="16"/>
              </w:rPr>
              <w:t xml:space="preserve">lijkheden </w:t>
            </w:r>
            <w:r w:rsidR="00260473" w:rsidRPr="00B67509">
              <w:rPr>
                <w:sz w:val="16"/>
              </w:rPr>
              <w:t>heeft</w:t>
            </w:r>
            <w:r w:rsidR="00260473">
              <w:rPr>
                <w:sz w:val="16"/>
              </w:rPr>
              <w:t>.</w:t>
            </w:r>
            <w:r w:rsidR="00260473" w:rsidRPr="00B67509">
              <w:rPr>
                <w:sz w:val="16"/>
              </w:rPr>
              <w:t xml:space="preserve"> </w:t>
            </w:r>
            <w:r w:rsidRPr="00B67509">
              <w:rPr>
                <w:sz w:val="16"/>
              </w:rPr>
              <w:t>Een aantal van de volgende kenmerken zal dan over het algemeen aan de orde zijn:</w:t>
            </w:r>
          </w:p>
          <w:p w:rsidR="002E0288" w:rsidRPr="00B67509" w:rsidRDefault="002E0288" w:rsidP="002E0288">
            <w:pPr>
              <w:spacing w:line="200" w:lineRule="atLeast"/>
              <w:ind w:left="284" w:hanging="284"/>
              <w:rPr>
                <w:sz w:val="16"/>
              </w:rPr>
            </w:pPr>
            <w:r w:rsidRPr="00B67509">
              <w:rPr>
                <w:sz w:val="16"/>
              </w:rPr>
              <w:t>-</w:t>
            </w:r>
            <w:r w:rsidRPr="00B67509">
              <w:rPr>
                <w:sz w:val="16"/>
              </w:rPr>
              <w:tab/>
            </w:r>
            <w:r>
              <w:rPr>
                <w:sz w:val="16"/>
              </w:rPr>
              <w:t>h</w:t>
            </w:r>
            <w:r w:rsidRPr="00B67509">
              <w:rPr>
                <w:sz w:val="16"/>
              </w:rPr>
              <w:t>et betreft een hotel met een beperkte capaciteit en daardoor</w:t>
            </w:r>
            <w:r>
              <w:rPr>
                <w:sz w:val="16"/>
              </w:rPr>
              <w:t xml:space="preserve"> aanzienlijk minder medewerkers;</w:t>
            </w:r>
          </w:p>
          <w:p w:rsidR="002E0288" w:rsidRPr="00B67509" w:rsidRDefault="002E0288" w:rsidP="002E0288">
            <w:pPr>
              <w:spacing w:line="200" w:lineRule="atLeast"/>
              <w:ind w:left="284" w:hanging="284"/>
              <w:rPr>
                <w:sz w:val="16"/>
              </w:rPr>
            </w:pPr>
            <w:r w:rsidRPr="00B67509">
              <w:rPr>
                <w:sz w:val="16"/>
              </w:rPr>
              <w:t>-</w:t>
            </w:r>
            <w:r w:rsidRPr="00B67509">
              <w:rPr>
                <w:sz w:val="16"/>
              </w:rPr>
              <w:tab/>
            </w:r>
            <w:r>
              <w:rPr>
                <w:sz w:val="16"/>
              </w:rPr>
              <w:t>h</w:t>
            </w:r>
            <w:r w:rsidRPr="00B67509">
              <w:rPr>
                <w:sz w:val="16"/>
              </w:rPr>
              <w:t xml:space="preserve">et aandachtsgebied van de functionaris is beperkt tot óf het hotelgedeelte óf de </w:t>
            </w:r>
            <w:r w:rsidRPr="005D681B">
              <w:rPr>
                <w:sz w:val="16"/>
              </w:rPr>
              <w:t>front office</w:t>
            </w:r>
            <w:r>
              <w:rPr>
                <w:sz w:val="16"/>
              </w:rPr>
              <w:t>;</w:t>
            </w:r>
          </w:p>
          <w:p w:rsidR="002E0288" w:rsidRDefault="002E0288" w:rsidP="002E0288">
            <w:pPr>
              <w:spacing w:line="200" w:lineRule="atLeast"/>
              <w:ind w:left="284" w:hanging="284"/>
              <w:rPr>
                <w:sz w:val="16"/>
              </w:rPr>
            </w:pPr>
            <w:r w:rsidRPr="00B67509">
              <w:rPr>
                <w:sz w:val="16"/>
              </w:rPr>
              <w:t>-</w:t>
            </w:r>
            <w:r w:rsidRPr="00B67509">
              <w:rPr>
                <w:sz w:val="16"/>
              </w:rPr>
              <w:tab/>
            </w:r>
            <w:r>
              <w:rPr>
                <w:sz w:val="16"/>
              </w:rPr>
              <w:t>d</w:t>
            </w:r>
            <w:r w:rsidRPr="00B67509">
              <w:rPr>
                <w:sz w:val="16"/>
              </w:rPr>
              <w:t xml:space="preserve">e </w:t>
            </w:r>
            <w:proofErr w:type="spellStart"/>
            <w:r w:rsidRPr="00B67509">
              <w:rPr>
                <w:sz w:val="16"/>
              </w:rPr>
              <w:t>housekeepingactiviteiten</w:t>
            </w:r>
            <w:proofErr w:type="spellEnd"/>
            <w:r w:rsidRPr="00B67509">
              <w:rPr>
                <w:sz w:val="16"/>
              </w:rPr>
              <w:t xml:space="preserve"> zijn, inclusief de operationele coördinatie</w:t>
            </w:r>
            <w:r>
              <w:rPr>
                <w:sz w:val="16"/>
              </w:rPr>
              <w:t>,</w:t>
            </w:r>
            <w:r w:rsidRPr="00B67509">
              <w:rPr>
                <w:sz w:val="16"/>
              </w:rPr>
              <w:t xml:space="preserve"> uitbesteed. </w:t>
            </w:r>
          </w:p>
          <w:p w:rsidR="002E0288" w:rsidRPr="00B67509" w:rsidRDefault="002E0288" w:rsidP="002E0288">
            <w:pPr>
              <w:spacing w:line="200" w:lineRule="atLeast"/>
              <w:rPr>
                <w:sz w:val="16"/>
              </w:rPr>
            </w:pPr>
          </w:p>
        </w:tc>
        <w:tc>
          <w:tcPr>
            <w:tcW w:w="4914" w:type="dxa"/>
            <w:tcBorders>
              <w:bottom w:val="single" w:sz="4" w:space="0" w:color="auto"/>
            </w:tcBorders>
            <w:shd w:val="clear" w:color="auto" w:fill="D9D9D9"/>
            <w:tcMar>
              <w:top w:w="113" w:type="dxa"/>
              <w:bottom w:w="113" w:type="dxa"/>
            </w:tcMar>
          </w:tcPr>
          <w:p w:rsidR="002E0288" w:rsidRPr="00AC4386" w:rsidRDefault="002E0288" w:rsidP="002E0288">
            <w:pPr>
              <w:spacing w:line="200" w:lineRule="atLeast"/>
              <w:ind w:left="284" w:hanging="284"/>
              <w:jc w:val="center"/>
              <w:rPr>
                <w:sz w:val="16"/>
              </w:rPr>
            </w:pPr>
            <w:r w:rsidRPr="00AC4386">
              <w:rPr>
                <w:sz w:val="16"/>
              </w:rPr>
              <w:t xml:space="preserve">Dit niveau is omschreven in de referentiefunctie </w:t>
            </w:r>
            <w:r>
              <w:rPr>
                <w:sz w:val="16"/>
              </w:rPr>
              <w:t>A</w:t>
            </w:r>
            <w:r w:rsidRPr="00AC4386">
              <w:rPr>
                <w:sz w:val="16"/>
              </w:rPr>
              <w:t>.</w:t>
            </w:r>
            <w:r>
              <w:rPr>
                <w:sz w:val="16"/>
              </w:rPr>
              <w:t>9</w:t>
            </w:r>
            <w:r w:rsidRPr="00AC4386">
              <w:rPr>
                <w:sz w:val="16"/>
              </w:rPr>
              <w:t>.</w:t>
            </w:r>
            <w:r>
              <w:rPr>
                <w:sz w:val="16"/>
              </w:rPr>
              <w:t>III</w:t>
            </w:r>
          </w:p>
          <w:p w:rsidR="002E0288" w:rsidRPr="00AC4386" w:rsidRDefault="002E0288" w:rsidP="002E0288">
            <w:pPr>
              <w:spacing w:line="200" w:lineRule="atLeast"/>
              <w:ind w:left="284" w:hanging="284"/>
              <w:jc w:val="center"/>
              <w:rPr>
                <w:sz w:val="16"/>
              </w:rPr>
            </w:pPr>
          </w:p>
          <w:p w:rsidR="002E0288" w:rsidRPr="00AC4386" w:rsidRDefault="002E0288" w:rsidP="002E0288">
            <w:pPr>
              <w:spacing w:line="200" w:lineRule="atLeast"/>
              <w:ind w:left="284" w:hanging="284"/>
              <w:jc w:val="center"/>
              <w:rPr>
                <w:sz w:val="16"/>
              </w:rPr>
            </w:pPr>
            <w:r>
              <w:rPr>
                <w:sz w:val="16"/>
              </w:rPr>
              <w:t>MANAGER ROOMS DIVISION</w:t>
            </w:r>
          </w:p>
        </w:tc>
        <w:tc>
          <w:tcPr>
            <w:tcW w:w="4914" w:type="dxa"/>
            <w:vMerge w:val="restart"/>
            <w:tcMar>
              <w:top w:w="113" w:type="dxa"/>
              <w:bottom w:w="113" w:type="dxa"/>
            </w:tcMar>
          </w:tcPr>
          <w:p w:rsidR="002E0288" w:rsidRPr="00B67509" w:rsidRDefault="002E0288" w:rsidP="002E0288">
            <w:pPr>
              <w:spacing w:line="200" w:lineRule="atLeast"/>
              <w:rPr>
                <w:sz w:val="16"/>
              </w:rPr>
            </w:pPr>
            <w:r w:rsidRPr="00B67509">
              <w:rPr>
                <w:sz w:val="16"/>
              </w:rPr>
              <w:t>Er is sprake van een inschaling in een hogere groep als de bedrijfsfunctie meer verantwoorde</w:t>
            </w:r>
            <w:r>
              <w:rPr>
                <w:sz w:val="16"/>
              </w:rPr>
              <w:softHyphen/>
            </w:r>
            <w:r w:rsidRPr="00B67509">
              <w:rPr>
                <w:sz w:val="16"/>
              </w:rPr>
              <w:t xml:space="preserve">lijkheden heeft of gesitueerd is in een complexere organisatie. De volgende kenmerken </w:t>
            </w:r>
            <w:r w:rsidR="0064058F" w:rsidRPr="00B67509">
              <w:rPr>
                <w:sz w:val="16"/>
              </w:rPr>
              <w:t xml:space="preserve">zijn </w:t>
            </w:r>
            <w:r w:rsidRPr="00B67509">
              <w:rPr>
                <w:sz w:val="16"/>
              </w:rPr>
              <w:t>daarmee overwegend aan de orde:</w:t>
            </w:r>
          </w:p>
          <w:p w:rsidR="002E0288" w:rsidRPr="00B67509" w:rsidRDefault="002E0288" w:rsidP="002E0288">
            <w:pPr>
              <w:spacing w:line="200" w:lineRule="atLeast"/>
              <w:ind w:left="284" w:hanging="284"/>
              <w:rPr>
                <w:sz w:val="16"/>
              </w:rPr>
            </w:pPr>
            <w:r w:rsidRPr="00B67509">
              <w:rPr>
                <w:sz w:val="16"/>
              </w:rPr>
              <w:t>-</w:t>
            </w:r>
            <w:r w:rsidRPr="00B67509">
              <w:rPr>
                <w:sz w:val="16"/>
              </w:rPr>
              <w:tab/>
            </w:r>
            <w:r>
              <w:rPr>
                <w:sz w:val="16"/>
              </w:rPr>
              <w:t>d</w:t>
            </w:r>
            <w:r w:rsidRPr="00B67509">
              <w:rPr>
                <w:sz w:val="16"/>
              </w:rPr>
              <w:t>e marktpositionering van het hotel en daarmee het type gasten en de aard van de dienst</w:t>
            </w:r>
            <w:r>
              <w:rPr>
                <w:sz w:val="16"/>
              </w:rPr>
              <w:softHyphen/>
            </w:r>
            <w:r w:rsidRPr="00B67509">
              <w:rPr>
                <w:sz w:val="16"/>
              </w:rPr>
              <w:t>verlening naar de gasten geven een andere dimensie en kwaliteitseis aan de front</w:t>
            </w:r>
            <w:r>
              <w:rPr>
                <w:sz w:val="16"/>
              </w:rPr>
              <w:t xml:space="preserve"> </w:t>
            </w:r>
            <w:r w:rsidRPr="00B67509">
              <w:rPr>
                <w:sz w:val="16"/>
              </w:rPr>
              <w:t>office</w:t>
            </w:r>
            <w:r>
              <w:rPr>
                <w:sz w:val="16"/>
              </w:rPr>
              <w:t>-</w:t>
            </w:r>
            <w:r w:rsidRPr="00B67509">
              <w:rPr>
                <w:sz w:val="16"/>
              </w:rPr>
              <w:t xml:space="preserve"> en </w:t>
            </w:r>
            <w:proofErr w:type="spellStart"/>
            <w:r w:rsidRPr="00B67509">
              <w:rPr>
                <w:sz w:val="16"/>
              </w:rPr>
              <w:t>hous</w:t>
            </w:r>
            <w:r>
              <w:rPr>
                <w:sz w:val="16"/>
              </w:rPr>
              <w:t>e</w:t>
            </w:r>
            <w:r w:rsidRPr="00B67509">
              <w:rPr>
                <w:sz w:val="16"/>
              </w:rPr>
              <w:t>keeping</w:t>
            </w:r>
            <w:r>
              <w:rPr>
                <w:sz w:val="16"/>
              </w:rPr>
              <w:t>processen</w:t>
            </w:r>
            <w:proofErr w:type="spellEnd"/>
            <w:r>
              <w:rPr>
                <w:sz w:val="16"/>
              </w:rPr>
              <w:t>;</w:t>
            </w:r>
          </w:p>
          <w:p w:rsidR="002E0288" w:rsidRPr="00B67509" w:rsidRDefault="002E0288" w:rsidP="002E0288">
            <w:pPr>
              <w:spacing w:line="200" w:lineRule="atLeast"/>
              <w:ind w:left="284" w:hanging="284"/>
              <w:rPr>
                <w:sz w:val="16"/>
              </w:rPr>
            </w:pPr>
            <w:r>
              <w:rPr>
                <w:sz w:val="16"/>
              </w:rPr>
              <w:t>-</w:t>
            </w:r>
            <w:r>
              <w:rPr>
                <w:sz w:val="16"/>
              </w:rPr>
              <w:tab/>
              <w:t>f</w:t>
            </w:r>
            <w:r w:rsidRPr="00B67509">
              <w:rPr>
                <w:sz w:val="16"/>
              </w:rPr>
              <w:t xml:space="preserve">rontoffice kent een dynamiek waarbij er sprake is van een actief ‘inspelen op de specifieke individuele’ behoeftes van de gast, zowel vanuit oogpunt van bestendigen van de relatie (blik op volgende bezoek) als door </w:t>
            </w:r>
            <w:r>
              <w:rPr>
                <w:sz w:val="16"/>
              </w:rPr>
              <w:t>het verblijfpatroon van de gast;</w:t>
            </w:r>
          </w:p>
          <w:p w:rsidR="002E0288" w:rsidRPr="00B67509" w:rsidRDefault="002E0288" w:rsidP="002E0288">
            <w:pPr>
              <w:spacing w:line="200" w:lineRule="atLeast"/>
              <w:ind w:left="284" w:hanging="284"/>
              <w:rPr>
                <w:sz w:val="16"/>
              </w:rPr>
            </w:pPr>
            <w:r w:rsidRPr="00B67509">
              <w:rPr>
                <w:sz w:val="16"/>
              </w:rPr>
              <w:t>-</w:t>
            </w:r>
            <w:r w:rsidRPr="00B67509">
              <w:rPr>
                <w:sz w:val="16"/>
              </w:rPr>
              <w:tab/>
            </w:r>
            <w:r>
              <w:rPr>
                <w:sz w:val="16"/>
              </w:rPr>
              <w:t>d</w:t>
            </w:r>
            <w:r w:rsidRPr="00B67509">
              <w:rPr>
                <w:sz w:val="16"/>
              </w:rPr>
              <w:t>e kwaliteitstandaard van het hotel legt niet alleen een extra druk op de intensiteit van de schoonmaak, maar leidt ook tot een groter en meer divers aantal extra bewerkingen</w:t>
            </w:r>
            <w:r>
              <w:rPr>
                <w:sz w:val="16"/>
              </w:rPr>
              <w:t>;</w:t>
            </w:r>
          </w:p>
          <w:p w:rsidR="002E0288" w:rsidRPr="00B67509" w:rsidRDefault="002E0288" w:rsidP="002E0288">
            <w:pPr>
              <w:spacing w:line="200" w:lineRule="atLeast"/>
              <w:ind w:left="284" w:hanging="284"/>
              <w:rPr>
                <w:sz w:val="16"/>
              </w:rPr>
            </w:pPr>
            <w:r w:rsidRPr="00B67509">
              <w:rPr>
                <w:sz w:val="16"/>
              </w:rPr>
              <w:t>-</w:t>
            </w:r>
            <w:r w:rsidRPr="00B67509">
              <w:rPr>
                <w:sz w:val="16"/>
              </w:rPr>
              <w:tab/>
            </w:r>
            <w:r>
              <w:rPr>
                <w:sz w:val="16"/>
              </w:rPr>
              <w:t>h</w:t>
            </w:r>
            <w:r w:rsidRPr="00B67509">
              <w:rPr>
                <w:sz w:val="16"/>
              </w:rPr>
              <w:t xml:space="preserve">et hotel kent een aanzienlijk groter aantal </w:t>
            </w:r>
            <w:r>
              <w:rPr>
                <w:sz w:val="16"/>
              </w:rPr>
              <w:t xml:space="preserve">kamers en de afdeling kent een </w:t>
            </w:r>
            <w:r w:rsidRPr="00B67509">
              <w:rPr>
                <w:sz w:val="16"/>
              </w:rPr>
              <w:t>aanzienl</w:t>
            </w:r>
            <w:r>
              <w:rPr>
                <w:sz w:val="16"/>
              </w:rPr>
              <w:t>ijk grotere personeelsbezetting;</w:t>
            </w:r>
          </w:p>
          <w:p w:rsidR="002E0288" w:rsidRPr="00B67509" w:rsidRDefault="002E0288" w:rsidP="002E0288">
            <w:pPr>
              <w:spacing w:line="200" w:lineRule="atLeast"/>
              <w:ind w:left="284" w:hanging="284"/>
              <w:rPr>
                <w:sz w:val="16"/>
              </w:rPr>
            </w:pPr>
            <w:r w:rsidRPr="00B67509">
              <w:rPr>
                <w:sz w:val="16"/>
              </w:rPr>
              <w:t>-</w:t>
            </w:r>
            <w:r w:rsidRPr="00B67509">
              <w:rPr>
                <w:sz w:val="16"/>
              </w:rPr>
              <w:tab/>
            </w:r>
            <w:r>
              <w:rPr>
                <w:sz w:val="16"/>
              </w:rPr>
              <w:t>d</w:t>
            </w:r>
            <w:r w:rsidRPr="00B67509">
              <w:rPr>
                <w:sz w:val="16"/>
              </w:rPr>
              <w:t>e functionaris is de eerste vervanger van de bedrijfsleider/hotelmanager bij diens afwezigheid</w:t>
            </w:r>
            <w:r>
              <w:rPr>
                <w:sz w:val="16"/>
              </w:rPr>
              <w:t>.</w:t>
            </w:r>
          </w:p>
          <w:p w:rsidR="002E0288" w:rsidRPr="00B67509" w:rsidRDefault="002E0288" w:rsidP="002E0288">
            <w:pPr>
              <w:spacing w:line="200" w:lineRule="atLeast"/>
              <w:rPr>
                <w:sz w:val="16"/>
              </w:rPr>
            </w:pPr>
          </w:p>
        </w:tc>
      </w:tr>
      <w:tr w:rsidR="002E0288" w:rsidRPr="00B67509">
        <w:trPr>
          <w:trHeight w:val="1420"/>
        </w:trPr>
        <w:tc>
          <w:tcPr>
            <w:tcW w:w="4914" w:type="dxa"/>
            <w:vMerge/>
            <w:tcBorders>
              <w:bottom w:val="single" w:sz="4" w:space="0" w:color="auto"/>
            </w:tcBorders>
            <w:tcMar>
              <w:top w:w="113" w:type="dxa"/>
              <w:bottom w:w="113" w:type="dxa"/>
            </w:tcMar>
          </w:tcPr>
          <w:p w:rsidR="002E0288" w:rsidRPr="00B67509" w:rsidRDefault="002E0288" w:rsidP="002E0288">
            <w:pPr>
              <w:spacing w:line="200" w:lineRule="atLeast"/>
              <w:rPr>
                <w:sz w:val="16"/>
              </w:rPr>
            </w:pPr>
          </w:p>
        </w:tc>
        <w:tc>
          <w:tcPr>
            <w:tcW w:w="4914" w:type="dxa"/>
            <w:tcBorders>
              <w:bottom w:val="single" w:sz="4" w:space="0" w:color="auto"/>
            </w:tcBorders>
            <w:shd w:val="clear" w:color="auto" w:fill="D9D9D9"/>
            <w:tcMar>
              <w:top w:w="113" w:type="dxa"/>
              <w:bottom w:w="113" w:type="dxa"/>
            </w:tcMar>
          </w:tcPr>
          <w:p w:rsidR="002E0288" w:rsidRDefault="002E0288" w:rsidP="002E0288">
            <w:pPr>
              <w:spacing w:line="200" w:lineRule="atLeast"/>
              <w:ind w:left="284" w:hanging="284"/>
              <w:rPr>
                <w:sz w:val="16"/>
              </w:rPr>
            </w:pPr>
            <w:r>
              <w:rPr>
                <w:sz w:val="16"/>
              </w:rPr>
              <w:t>Referentiefunctie handboek 2002:</w:t>
            </w:r>
          </w:p>
          <w:p w:rsidR="002E0288" w:rsidRPr="00EA7510" w:rsidRDefault="002E0288" w:rsidP="002E0288">
            <w:pPr>
              <w:spacing w:line="200" w:lineRule="atLeast"/>
              <w:ind w:left="284" w:hanging="284"/>
              <w:rPr>
                <w:sz w:val="16"/>
              </w:rPr>
            </w:pPr>
            <w:r>
              <w:rPr>
                <w:sz w:val="16"/>
              </w:rPr>
              <w:t>-</w:t>
            </w:r>
            <w:r>
              <w:rPr>
                <w:sz w:val="16"/>
              </w:rPr>
              <w:tab/>
              <w:t>M</w:t>
            </w:r>
            <w:r w:rsidRPr="00EA7510">
              <w:rPr>
                <w:sz w:val="16"/>
              </w:rPr>
              <w:t xml:space="preserve">anager </w:t>
            </w:r>
            <w:r>
              <w:rPr>
                <w:sz w:val="16"/>
              </w:rPr>
              <w:t xml:space="preserve">rooms </w:t>
            </w:r>
            <w:proofErr w:type="spellStart"/>
            <w:r>
              <w:rPr>
                <w:sz w:val="16"/>
              </w:rPr>
              <w:t>division</w:t>
            </w:r>
            <w:proofErr w:type="spellEnd"/>
            <w:r>
              <w:rPr>
                <w:sz w:val="16"/>
              </w:rPr>
              <w:t xml:space="preserve"> (A.9.1)</w:t>
            </w:r>
          </w:p>
        </w:tc>
        <w:tc>
          <w:tcPr>
            <w:tcW w:w="4914" w:type="dxa"/>
            <w:vMerge/>
            <w:tcBorders>
              <w:bottom w:val="single" w:sz="4" w:space="0" w:color="auto"/>
            </w:tcBorders>
            <w:tcMar>
              <w:top w:w="113" w:type="dxa"/>
              <w:bottom w:w="113" w:type="dxa"/>
            </w:tcMar>
          </w:tcPr>
          <w:p w:rsidR="002E0288" w:rsidRPr="00B67509" w:rsidRDefault="002E0288" w:rsidP="002E0288">
            <w:pPr>
              <w:spacing w:line="200" w:lineRule="atLeast"/>
              <w:rPr>
                <w:sz w:val="16"/>
              </w:rPr>
            </w:pPr>
          </w:p>
        </w:tc>
      </w:tr>
      <w:tr w:rsidR="002E0288" w:rsidRPr="00B67509">
        <w:tblPrEx>
          <w:tblLook w:val="04A0" w:firstRow="1" w:lastRow="0" w:firstColumn="1" w:lastColumn="0" w:noHBand="0" w:noVBand="1"/>
        </w:tblPrEx>
        <w:trPr>
          <w:trHeight w:val="284"/>
        </w:trPr>
        <w:tc>
          <w:tcPr>
            <w:tcW w:w="4914" w:type="dxa"/>
            <w:shd w:val="clear" w:color="auto" w:fill="B80526"/>
            <w:tcMar>
              <w:top w:w="28" w:type="dxa"/>
              <w:bottom w:w="28" w:type="dxa"/>
            </w:tcMar>
            <w:vAlign w:val="center"/>
          </w:tcPr>
          <w:p w:rsidR="002E0288" w:rsidRPr="00B67509" w:rsidRDefault="002E0288" w:rsidP="002E0288">
            <w:pPr>
              <w:spacing w:line="220" w:lineRule="atLeast"/>
              <w:jc w:val="center"/>
              <w:rPr>
                <w:b/>
                <w:color w:val="FFFFFF"/>
                <w:sz w:val="18"/>
              </w:rPr>
            </w:pPr>
            <w:r>
              <w:rPr>
                <w:b/>
                <w:color w:val="FFFFFF"/>
                <w:sz w:val="18"/>
              </w:rPr>
              <w:t>8</w:t>
            </w:r>
          </w:p>
        </w:tc>
        <w:tc>
          <w:tcPr>
            <w:tcW w:w="4914" w:type="dxa"/>
            <w:shd w:val="clear" w:color="auto" w:fill="B80526"/>
            <w:tcMar>
              <w:top w:w="28" w:type="dxa"/>
              <w:bottom w:w="28" w:type="dxa"/>
            </w:tcMar>
            <w:vAlign w:val="center"/>
          </w:tcPr>
          <w:p w:rsidR="002E0288" w:rsidRPr="00B67509" w:rsidRDefault="002E0288" w:rsidP="002E0288">
            <w:pPr>
              <w:spacing w:line="220" w:lineRule="atLeast"/>
              <w:jc w:val="center"/>
              <w:rPr>
                <w:b/>
                <w:color w:val="FFFFFF"/>
                <w:sz w:val="18"/>
              </w:rPr>
            </w:pPr>
            <w:r>
              <w:rPr>
                <w:b/>
                <w:color w:val="FFFFFF"/>
                <w:sz w:val="18"/>
              </w:rPr>
              <w:t>9 (referentie)</w:t>
            </w:r>
          </w:p>
        </w:tc>
        <w:tc>
          <w:tcPr>
            <w:tcW w:w="4914" w:type="dxa"/>
            <w:shd w:val="clear" w:color="auto" w:fill="B80526"/>
            <w:tcMar>
              <w:top w:w="28" w:type="dxa"/>
              <w:bottom w:w="28" w:type="dxa"/>
            </w:tcMar>
            <w:vAlign w:val="center"/>
          </w:tcPr>
          <w:p w:rsidR="002E0288" w:rsidRPr="00B67509" w:rsidRDefault="002E0288" w:rsidP="002E0288">
            <w:pPr>
              <w:spacing w:line="220" w:lineRule="atLeast"/>
              <w:jc w:val="center"/>
              <w:rPr>
                <w:b/>
                <w:color w:val="FFFFFF"/>
                <w:sz w:val="18"/>
              </w:rPr>
            </w:pPr>
            <w:r>
              <w:rPr>
                <w:b/>
                <w:color w:val="FFFFFF"/>
                <w:sz w:val="18"/>
              </w:rPr>
              <w:t>10</w:t>
            </w:r>
          </w:p>
        </w:tc>
      </w:tr>
    </w:tbl>
    <w:p w:rsidR="002E0288" w:rsidRPr="001073D2" w:rsidRDefault="002E0288" w:rsidP="002E0288">
      <w:pPr>
        <w:spacing w:line="220" w:lineRule="atLeast"/>
      </w:pPr>
    </w:p>
    <w:sectPr w:rsidR="002E0288" w:rsidRPr="001073D2" w:rsidSect="002E0288">
      <w:headerReference w:type="even" r:id="rId8"/>
      <w:headerReference w:type="default" r:id="rId9"/>
      <w:footerReference w:type="even" r:id="rId10"/>
      <w:footerReference w:type="default" r:id="rId11"/>
      <w:headerReference w:type="first" r:id="rId12"/>
      <w:footerReference w:type="first" r:id="rId13"/>
      <w:pgSz w:w="16838" w:h="11899" w:orient="landscape"/>
      <w:pgMar w:top="1701" w:right="1134"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B5F" w:rsidRDefault="009F0B5F" w:rsidP="001073D2">
      <w:pPr>
        <w:spacing w:line="240" w:lineRule="auto"/>
      </w:pPr>
      <w:r>
        <w:separator/>
      </w:r>
    </w:p>
  </w:endnote>
  <w:endnote w:type="continuationSeparator" w:id="0">
    <w:p w:rsidR="009F0B5F" w:rsidRDefault="009F0B5F"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B" w:rsidRDefault="005D681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88" w:rsidRPr="009F1A8E" w:rsidRDefault="002E0288" w:rsidP="009F1A8E">
    <w:pPr>
      <w:pStyle w:val="Voetteks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B" w:rsidRDefault="005D681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B5F" w:rsidRDefault="009F0B5F" w:rsidP="001073D2">
      <w:pPr>
        <w:spacing w:line="240" w:lineRule="auto"/>
      </w:pPr>
      <w:r>
        <w:separator/>
      </w:r>
    </w:p>
  </w:footnote>
  <w:footnote w:type="continuationSeparator" w:id="0">
    <w:p w:rsidR="009F0B5F" w:rsidRDefault="009F0B5F"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B" w:rsidRDefault="005D681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88" w:rsidRPr="004B5A50" w:rsidRDefault="002E0288" w:rsidP="002E0288">
    <w:pPr>
      <w:pStyle w:val="Koptekst"/>
      <w:tabs>
        <w:tab w:val="clear" w:pos="8306"/>
        <w:tab w:val="right" w:pos="14601"/>
      </w:tabs>
      <w:ind w:right="0"/>
      <w:jc w:val="left"/>
    </w:pPr>
    <w:r w:rsidRPr="004B5A50">
      <w:rPr>
        <w:lang w:eastAsia="nl-NL"/>
      </w:rPr>
      <w:t xml:space="preserve">Indelingshulpmiddel bij meer of minder verantwoordelijkheden dan de referentiefunctie: </w:t>
    </w:r>
    <w:r>
      <w:rPr>
        <w:lang w:eastAsia="nl-NL"/>
      </w:rPr>
      <w:t xml:space="preserve">Manager rooms </w:t>
    </w:r>
    <w:proofErr w:type="spellStart"/>
    <w:r>
      <w:rPr>
        <w:lang w:eastAsia="nl-NL"/>
      </w:rPr>
      <w:t>division</w:t>
    </w:r>
    <w:proofErr w:type="spellEnd"/>
    <w:r w:rsidRPr="004B5A50">
      <w:rPr>
        <w:caps/>
        <w:lang w:eastAsia="nl-NL"/>
      </w:rPr>
      <w:tab/>
    </w:r>
    <w:r w:rsidRPr="004B5A50">
      <w:rPr>
        <w:lang w:eastAsia="nl-NL"/>
      </w:rPr>
      <w:t xml:space="preserve">Functienummer:  </w:t>
    </w:r>
    <w:r>
      <w:rPr>
        <w:lang w:eastAsia="nl-NL"/>
      </w:rPr>
      <w:t>A</w:t>
    </w:r>
    <w:r w:rsidRPr="004B5A50">
      <w:rPr>
        <w:lang w:eastAsia="nl-NL"/>
      </w:rPr>
      <w:t>.</w:t>
    </w:r>
    <w:r>
      <w:rPr>
        <w:lang w:eastAsia="nl-NL"/>
      </w:rPr>
      <w:t>9</w:t>
    </w:r>
    <w:r w:rsidRPr="004B5A50">
      <w:rPr>
        <w:lang w:eastAsia="nl-NL"/>
      </w:rPr>
      <w:t>.</w:t>
    </w:r>
    <w:r>
      <w:rPr>
        <w:lang w:eastAsia="nl-NL"/>
      </w:rPr>
      <w:t>III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B" w:rsidRDefault="005D681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611FE"/>
    <w:multiLevelType w:val="hybridMultilevel"/>
    <w:tmpl w:val="0BD8C79A"/>
    <w:lvl w:ilvl="0" w:tplc="A5262794">
      <w:start w:val="2"/>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7D74271D"/>
    <w:multiLevelType w:val="hybridMultilevel"/>
    <w:tmpl w:val="AF783032"/>
    <w:lvl w:ilvl="0" w:tplc="D75039E0">
      <w:start w:val="2"/>
      <w:numFmt w:val="bullet"/>
      <w:lvlText w:val="-"/>
      <w:lvlJc w:val="left"/>
      <w:pPr>
        <w:tabs>
          <w:tab w:val="num" w:pos="502"/>
        </w:tabs>
        <w:ind w:left="502" w:hanging="360"/>
      </w:pPr>
      <w:rPr>
        <w:rFonts w:ascii="Arial" w:eastAsia="Times New Roman" w:hAnsi="Arial" w:hint="default"/>
        <w:w w:val="0"/>
      </w:rPr>
    </w:lvl>
    <w:lvl w:ilvl="1" w:tplc="00030409" w:tentative="1">
      <w:start w:val="1"/>
      <w:numFmt w:val="bullet"/>
      <w:lvlText w:val="o"/>
      <w:lvlJc w:val="left"/>
      <w:pPr>
        <w:tabs>
          <w:tab w:val="num" w:pos="1222"/>
        </w:tabs>
        <w:ind w:left="1222" w:hanging="360"/>
      </w:pPr>
      <w:rPr>
        <w:rFonts w:ascii="Courier New" w:hAnsi="Courier New" w:hint="default"/>
      </w:rPr>
    </w:lvl>
    <w:lvl w:ilvl="2" w:tplc="00050409" w:tentative="1">
      <w:start w:val="1"/>
      <w:numFmt w:val="bullet"/>
      <w:lvlText w:val=""/>
      <w:lvlJc w:val="left"/>
      <w:pPr>
        <w:tabs>
          <w:tab w:val="num" w:pos="1942"/>
        </w:tabs>
        <w:ind w:left="1942" w:hanging="360"/>
      </w:pPr>
      <w:rPr>
        <w:rFonts w:ascii="Wingdings" w:hAnsi="Wingdings" w:hint="default"/>
      </w:rPr>
    </w:lvl>
    <w:lvl w:ilvl="3" w:tplc="00010409" w:tentative="1">
      <w:start w:val="1"/>
      <w:numFmt w:val="bullet"/>
      <w:lvlText w:val=""/>
      <w:lvlJc w:val="left"/>
      <w:pPr>
        <w:tabs>
          <w:tab w:val="num" w:pos="2662"/>
        </w:tabs>
        <w:ind w:left="2662" w:hanging="360"/>
      </w:pPr>
      <w:rPr>
        <w:rFonts w:ascii="Symbol" w:hAnsi="Symbol" w:hint="default"/>
      </w:rPr>
    </w:lvl>
    <w:lvl w:ilvl="4" w:tplc="00030409" w:tentative="1">
      <w:start w:val="1"/>
      <w:numFmt w:val="bullet"/>
      <w:lvlText w:val="o"/>
      <w:lvlJc w:val="left"/>
      <w:pPr>
        <w:tabs>
          <w:tab w:val="num" w:pos="3382"/>
        </w:tabs>
        <w:ind w:left="3382" w:hanging="360"/>
      </w:pPr>
      <w:rPr>
        <w:rFonts w:ascii="Courier New" w:hAnsi="Courier New" w:hint="default"/>
      </w:rPr>
    </w:lvl>
    <w:lvl w:ilvl="5" w:tplc="00050409" w:tentative="1">
      <w:start w:val="1"/>
      <w:numFmt w:val="bullet"/>
      <w:lvlText w:val=""/>
      <w:lvlJc w:val="left"/>
      <w:pPr>
        <w:tabs>
          <w:tab w:val="num" w:pos="4102"/>
        </w:tabs>
        <w:ind w:left="4102" w:hanging="360"/>
      </w:pPr>
      <w:rPr>
        <w:rFonts w:ascii="Wingdings" w:hAnsi="Wingdings" w:hint="default"/>
      </w:rPr>
    </w:lvl>
    <w:lvl w:ilvl="6" w:tplc="00010409" w:tentative="1">
      <w:start w:val="1"/>
      <w:numFmt w:val="bullet"/>
      <w:lvlText w:val=""/>
      <w:lvlJc w:val="left"/>
      <w:pPr>
        <w:tabs>
          <w:tab w:val="num" w:pos="4822"/>
        </w:tabs>
        <w:ind w:left="4822" w:hanging="360"/>
      </w:pPr>
      <w:rPr>
        <w:rFonts w:ascii="Symbol" w:hAnsi="Symbol" w:hint="default"/>
      </w:rPr>
    </w:lvl>
    <w:lvl w:ilvl="7" w:tplc="00030409" w:tentative="1">
      <w:start w:val="1"/>
      <w:numFmt w:val="bullet"/>
      <w:lvlText w:val="o"/>
      <w:lvlJc w:val="left"/>
      <w:pPr>
        <w:tabs>
          <w:tab w:val="num" w:pos="5542"/>
        </w:tabs>
        <w:ind w:left="5542" w:hanging="360"/>
      </w:pPr>
      <w:rPr>
        <w:rFonts w:ascii="Courier New" w:hAnsi="Courier New" w:hint="default"/>
      </w:rPr>
    </w:lvl>
    <w:lvl w:ilvl="8" w:tplc="00050409" w:tentative="1">
      <w:start w:val="1"/>
      <w:numFmt w:val="bullet"/>
      <w:lvlText w:val=""/>
      <w:lvlJc w:val="left"/>
      <w:pPr>
        <w:tabs>
          <w:tab w:val="num" w:pos="6262"/>
        </w:tabs>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4563E"/>
    <w:rsid w:val="00260473"/>
    <w:rsid w:val="002E0288"/>
    <w:rsid w:val="00443A33"/>
    <w:rsid w:val="0054563E"/>
    <w:rsid w:val="005D681B"/>
    <w:rsid w:val="0064058F"/>
    <w:rsid w:val="0078127F"/>
    <w:rsid w:val="008D0B5D"/>
    <w:rsid w:val="009F0B5F"/>
    <w:rsid w:val="009F1A8E"/>
    <w:rsid w:val="00B05348"/>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5</cp:revision>
  <cp:lastPrinted>2011-03-21T14:21:00Z</cp:lastPrinted>
  <dcterms:created xsi:type="dcterms:W3CDTF">2011-07-21T15:49:00Z</dcterms:created>
  <dcterms:modified xsi:type="dcterms:W3CDTF">2012-06-06T11:56:00Z</dcterms:modified>
</cp:coreProperties>
</file>