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745"/>
        <w:gridCol w:w="1281"/>
        <w:gridCol w:w="8905"/>
        <w:gridCol w:w="1378"/>
      </w:tblGrid>
      <w:tr w:rsidR="00241691" w:rsidRPr="006925C7">
        <w:trPr>
          <w:trHeight w:val="170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3A18DD" w:rsidRPr="006925C7" w:rsidRDefault="003A18DD" w:rsidP="00241691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241691" w:rsidRPr="006925C7" w:rsidRDefault="00241691" w:rsidP="00241691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563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241691" w:rsidRPr="006925C7" w:rsidRDefault="00241691" w:rsidP="00241691">
            <w:pPr>
              <w:jc w:val="center"/>
              <w:rPr>
                <w:b/>
                <w:caps/>
                <w:color w:val="FFFFFF"/>
                <w:sz w:val="18"/>
              </w:rPr>
            </w:pPr>
            <w:r>
              <w:rPr>
                <w:b/>
                <w:caps/>
                <w:color w:val="FFFFFF"/>
                <w:sz w:val="18"/>
              </w:rPr>
              <w:t>Bedrijfsleider II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241691" w:rsidRPr="006925C7" w:rsidRDefault="00241691" w:rsidP="00241691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241691" w:rsidRPr="004C3EC4">
        <w:tc>
          <w:tcPr>
            <w:tcW w:w="2368" w:type="dxa"/>
            <w:shd w:val="clear" w:color="auto" w:fill="auto"/>
          </w:tcPr>
          <w:p w:rsidR="00241691" w:rsidRPr="00521AEC" w:rsidRDefault="00241691" w:rsidP="00241691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Aantal medewerkers</w:t>
            </w:r>
          </w:p>
          <w:p w:rsidR="00241691" w:rsidRPr="00521AEC" w:rsidRDefault="00241691" w:rsidP="00241691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</w:p>
        </w:tc>
        <w:tc>
          <w:tcPr>
            <w:tcW w:w="810" w:type="dxa"/>
            <w:vMerge w:val="restart"/>
            <w:textDirection w:val="btLr"/>
            <w:vAlign w:val="center"/>
          </w:tcPr>
          <w:p w:rsidR="00241691" w:rsidRPr="004C3EC4" w:rsidRDefault="00241691" w:rsidP="00241691">
            <w:pPr>
              <w:ind w:left="57" w:right="113"/>
              <w:jc w:val="center"/>
              <w:rPr>
                <w:sz w:val="16"/>
              </w:rPr>
            </w:pPr>
            <w:r w:rsidRPr="004C3EC4">
              <w:rPr>
                <w:sz w:val="16"/>
              </w:rPr>
              <w:t xml:space="preserve">Zie </w:t>
            </w:r>
            <w:r>
              <w:rPr>
                <w:sz w:val="16"/>
              </w:rPr>
              <w:t>functieomschrijving en NOK-bijlage Bedrijfsmanager</w:t>
            </w: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241691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Totale vestiging bestaat uit:</w:t>
            </w:r>
          </w:p>
          <w:p w:rsidR="00241691" w:rsidRPr="00597433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100</w:t>
            </w:r>
            <w:r>
              <w:rPr>
                <w:sz w:val="16"/>
              </w:rPr>
              <w:t xml:space="preserve"> tot</w:t>
            </w:r>
            <w:r w:rsidRPr="00597433">
              <w:rPr>
                <w:sz w:val="16"/>
              </w:rPr>
              <w:t xml:space="preserve"> 200 (parttime) medewerkers</w:t>
            </w:r>
            <w:r>
              <w:rPr>
                <w:sz w:val="16"/>
              </w:rPr>
              <w:t>;</w:t>
            </w:r>
          </w:p>
          <w:p w:rsidR="00241691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40 tot</w:t>
            </w:r>
            <w:r w:rsidRPr="00597433">
              <w:rPr>
                <w:sz w:val="16"/>
              </w:rPr>
              <w:t xml:space="preserve"> 75 fulltime equivalenten</w:t>
            </w:r>
            <w:r>
              <w:rPr>
                <w:sz w:val="16"/>
              </w:rPr>
              <w:t>.</w:t>
            </w:r>
          </w:p>
          <w:p w:rsidR="00241691" w:rsidRPr="00597433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</w:p>
        </w:tc>
        <w:tc>
          <w:tcPr>
            <w:tcW w:w="871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241691" w:rsidRPr="004C3EC4" w:rsidRDefault="00241691" w:rsidP="00241691">
            <w:pPr>
              <w:spacing w:line="240" w:lineRule="auto"/>
              <w:ind w:left="397" w:right="113" w:hanging="284"/>
              <w:jc w:val="center"/>
              <w:rPr>
                <w:sz w:val="16"/>
              </w:rPr>
            </w:pPr>
            <w:r>
              <w:rPr>
                <w:sz w:val="16"/>
              </w:rPr>
              <w:t>Geen referentie, valt buiten de CAO</w:t>
            </w:r>
          </w:p>
        </w:tc>
      </w:tr>
      <w:tr w:rsidR="00241691" w:rsidRPr="004C3EC4">
        <w:tc>
          <w:tcPr>
            <w:tcW w:w="2368" w:type="dxa"/>
            <w:shd w:val="clear" w:color="auto" w:fill="auto"/>
          </w:tcPr>
          <w:p w:rsidR="00241691" w:rsidRPr="0036769F" w:rsidRDefault="00241691" w:rsidP="00241691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Capaciteit</w:t>
            </w:r>
          </w:p>
        </w:tc>
        <w:tc>
          <w:tcPr>
            <w:tcW w:w="810" w:type="dxa"/>
            <w:vMerge/>
          </w:tcPr>
          <w:p w:rsidR="00241691" w:rsidRPr="004C3EC4" w:rsidRDefault="00241691" w:rsidP="00241691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241691" w:rsidRPr="00597433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H</w:t>
            </w:r>
            <w:r w:rsidRPr="00597433">
              <w:rPr>
                <w:sz w:val="16"/>
              </w:rPr>
              <w:t>otel met &gt; 150 kamers</w:t>
            </w:r>
            <w:r>
              <w:rPr>
                <w:sz w:val="16"/>
              </w:rPr>
              <w:t>.</w:t>
            </w:r>
          </w:p>
          <w:p w:rsidR="00241691" w:rsidRPr="00597433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M</w:t>
            </w:r>
            <w:r w:rsidRPr="00597433">
              <w:rPr>
                <w:sz w:val="16"/>
              </w:rPr>
              <w:t>eeting center met 20 - 25 zalen (tota</w:t>
            </w:r>
            <w:r>
              <w:rPr>
                <w:sz w:val="16"/>
              </w:rPr>
              <w:t>le capaciteit tot 600 personen).</w:t>
            </w:r>
          </w:p>
          <w:p w:rsidR="00241691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H</w:t>
            </w:r>
            <w:r w:rsidRPr="00597433">
              <w:rPr>
                <w:sz w:val="16"/>
              </w:rPr>
              <w:t>otel/</w:t>
            </w:r>
            <w:proofErr w:type="spellStart"/>
            <w:r w:rsidRPr="00597433">
              <w:rPr>
                <w:sz w:val="16"/>
              </w:rPr>
              <w:t>meetingcombinatie</w:t>
            </w:r>
            <w:proofErr w:type="spellEnd"/>
            <w:r w:rsidRPr="00597433">
              <w:rPr>
                <w:sz w:val="16"/>
              </w:rPr>
              <w:t xml:space="preserve"> met 60 - 80 kamers + 10 - 15 zalen</w:t>
            </w:r>
            <w:r>
              <w:rPr>
                <w:sz w:val="16"/>
              </w:rPr>
              <w:t>.</w:t>
            </w:r>
          </w:p>
          <w:p w:rsidR="00241691" w:rsidRPr="00597433" w:rsidRDefault="00241691" w:rsidP="00241691">
            <w:pPr>
              <w:spacing w:line="160" w:lineRule="atLeast"/>
              <w:rPr>
                <w:sz w:val="16"/>
              </w:rPr>
            </w:pP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</w:tcPr>
          <w:p w:rsidR="00241691" w:rsidRPr="004C3EC4" w:rsidRDefault="00241691" w:rsidP="00241691">
            <w:pPr>
              <w:spacing w:line="240" w:lineRule="auto"/>
              <w:rPr>
                <w:i/>
                <w:sz w:val="16"/>
              </w:rPr>
            </w:pPr>
          </w:p>
        </w:tc>
      </w:tr>
      <w:tr w:rsidR="00241691" w:rsidRPr="004C3EC4">
        <w:tc>
          <w:tcPr>
            <w:tcW w:w="2368" w:type="dxa"/>
            <w:shd w:val="clear" w:color="auto" w:fill="auto"/>
          </w:tcPr>
          <w:p w:rsidR="00241691" w:rsidRPr="0036769F" w:rsidRDefault="00241691" w:rsidP="00241691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Disciplinediversiteit</w:t>
            </w:r>
          </w:p>
        </w:tc>
        <w:tc>
          <w:tcPr>
            <w:tcW w:w="810" w:type="dxa"/>
            <w:vMerge/>
          </w:tcPr>
          <w:p w:rsidR="00241691" w:rsidRPr="004C3EC4" w:rsidRDefault="00241691" w:rsidP="00241691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241691" w:rsidRPr="00597433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Het bedrijf/de vestiging kent alle disciplines (b</w:t>
            </w:r>
            <w:r>
              <w:rPr>
                <w:sz w:val="16"/>
              </w:rPr>
              <w:t>.</w:t>
            </w:r>
            <w:r w:rsidRPr="00597433">
              <w:rPr>
                <w:sz w:val="16"/>
              </w:rPr>
              <w:t>v. bediening, keuken, facilitair, kamers/zalen, receptie)</w:t>
            </w:r>
            <w:r>
              <w:rPr>
                <w:sz w:val="16"/>
              </w:rPr>
              <w:t>.</w:t>
            </w:r>
          </w:p>
          <w:p w:rsidR="00241691" w:rsidRPr="00597433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Zwaartepunt ligt in de verhuur van de kamers en zalen. De overige disci</w:t>
            </w:r>
            <w:r>
              <w:rPr>
                <w:sz w:val="16"/>
              </w:rPr>
              <w:softHyphen/>
            </w:r>
            <w:r w:rsidRPr="00597433">
              <w:rPr>
                <w:sz w:val="16"/>
              </w:rPr>
              <w:t>plines zijn ter ondersteuning en completering van het producten</w:t>
            </w:r>
            <w:r>
              <w:rPr>
                <w:sz w:val="16"/>
              </w:rPr>
              <w:t>-</w:t>
            </w:r>
            <w:r w:rsidRPr="00597433">
              <w:rPr>
                <w:sz w:val="16"/>
              </w:rPr>
              <w:t>/</w:t>
            </w:r>
            <w:r>
              <w:rPr>
                <w:sz w:val="16"/>
              </w:rPr>
              <w:t xml:space="preserve"> </w:t>
            </w:r>
            <w:r w:rsidRPr="00597433">
              <w:rPr>
                <w:sz w:val="16"/>
              </w:rPr>
              <w:t>dienstenpakket, waarbij de breedte en kwaliteit van het F&amp;B</w:t>
            </w:r>
            <w:r>
              <w:rPr>
                <w:sz w:val="16"/>
              </w:rPr>
              <w:t>-</w:t>
            </w:r>
            <w:r w:rsidRPr="00597433">
              <w:rPr>
                <w:sz w:val="16"/>
              </w:rPr>
              <w:t>assortiment als aanvullend U</w:t>
            </w:r>
            <w:r>
              <w:rPr>
                <w:sz w:val="16"/>
              </w:rPr>
              <w:t xml:space="preserve">nique </w:t>
            </w:r>
            <w:proofErr w:type="spellStart"/>
            <w:r w:rsidRPr="00597433">
              <w:rPr>
                <w:sz w:val="16"/>
              </w:rPr>
              <w:t>S</w:t>
            </w:r>
            <w:r>
              <w:rPr>
                <w:sz w:val="16"/>
              </w:rPr>
              <w:t>elling</w:t>
            </w:r>
            <w:proofErr w:type="spellEnd"/>
            <w:r>
              <w:rPr>
                <w:sz w:val="16"/>
              </w:rPr>
              <w:t xml:space="preserve"> </w:t>
            </w:r>
            <w:r w:rsidRPr="00597433">
              <w:rPr>
                <w:sz w:val="16"/>
              </w:rPr>
              <w:t>P</w:t>
            </w:r>
            <w:r>
              <w:rPr>
                <w:sz w:val="16"/>
              </w:rPr>
              <w:t>oint</w:t>
            </w:r>
            <w:r w:rsidRPr="00597433">
              <w:rPr>
                <w:sz w:val="16"/>
              </w:rPr>
              <w:t xml:space="preserve"> geldt.</w:t>
            </w:r>
          </w:p>
          <w:p w:rsidR="00241691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Bedrijfsprofiel is enigszins complex, de combinatie en verscheidenheid van de disciplines ma</w:t>
            </w:r>
            <w:r>
              <w:rPr>
                <w:sz w:val="16"/>
              </w:rPr>
              <w:t>akt het vertalen van de bedrijfs</w:t>
            </w:r>
            <w:r w:rsidRPr="00597433">
              <w:rPr>
                <w:sz w:val="16"/>
              </w:rPr>
              <w:t>strategie naar concrete plannen (tactisch, operationeel) moeilijker</w:t>
            </w:r>
            <w:r>
              <w:rPr>
                <w:sz w:val="16"/>
              </w:rPr>
              <w:t>.</w:t>
            </w:r>
          </w:p>
          <w:p w:rsidR="00241691" w:rsidRPr="00597433" w:rsidRDefault="00241691" w:rsidP="00241691">
            <w:pPr>
              <w:spacing w:line="160" w:lineRule="atLeast"/>
              <w:rPr>
                <w:sz w:val="16"/>
              </w:rPr>
            </w:pP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</w:tcPr>
          <w:p w:rsidR="00241691" w:rsidRPr="004C3EC4" w:rsidRDefault="00241691" w:rsidP="00241691">
            <w:pPr>
              <w:spacing w:line="240" w:lineRule="auto"/>
              <w:rPr>
                <w:i/>
                <w:sz w:val="16"/>
              </w:rPr>
            </w:pPr>
          </w:p>
        </w:tc>
      </w:tr>
      <w:tr w:rsidR="00241691" w:rsidRPr="004C3EC4">
        <w:tc>
          <w:tcPr>
            <w:tcW w:w="2368" w:type="dxa"/>
          </w:tcPr>
          <w:p w:rsidR="00241691" w:rsidRDefault="00241691" w:rsidP="00241691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Vrijheidsgraden functie</w:t>
            </w:r>
          </w:p>
        </w:tc>
        <w:tc>
          <w:tcPr>
            <w:tcW w:w="810" w:type="dxa"/>
            <w:vMerge/>
            <w:textDirection w:val="btLr"/>
          </w:tcPr>
          <w:p w:rsidR="00241691" w:rsidRPr="004C3EC4" w:rsidRDefault="00241691" w:rsidP="00241691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241691" w:rsidRPr="00597433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Bedrijfsleider</w:t>
            </w:r>
            <w:r>
              <w:rPr>
                <w:sz w:val="16"/>
              </w:rPr>
              <w:t xml:space="preserve"> II</w:t>
            </w:r>
            <w:r w:rsidRPr="00597433">
              <w:rPr>
                <w:sz w:val="16"/>
              </w:rPr>
              <w:t xml:space="preserve"> wordt aangesproken op het rendement van de vestiging</w:t>
            </w:r>
            <w:r>
              <w:rPr>
                <w:sz w:val="16"/>
              </w:rPr>
              <w:t>.</w:t>
            </w:r>
          </w:p>
          <w:p w:rsidR="00241691" w:rsidRPr="00597433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Formule</w:t>
            </w:r>
            <w:r>
              <w:rPr>
                <w:sz w:val="16"/>
              </w:rPr>
              <w:t>-</w:t>
            </w:r>
            <w:r w:rsidRPr="00597433">
              <w:rPr>
                <w:sz w:val="16"/>
              </w:rPr>
              <w:t>uitgangspunten of strategie organisatie vormen de basis voor het eigen vestigingsbeleid</w:t>
            </w:r>
            <w:r>
              <w:rPr>
                <w:sz w:val="16"/>
              </w:rPr>
              <w:t>.</w:t>
            </w:r>
          </w:p>
          <w:p w:rsidR="00241691" w:rsidRPr="00597433" w:rsidRDefault="00241691" w:rsidP="00241691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Bedrijfsleider</w:t>
            </w:r>
            <w:r>
              <w:rPr>
                <w:sz w:val="16"/>
              </w:rPr>
              <w:t xml:space="preserve"> II</w:t>
            </w:r>
            <w:r w:rsidRPr="00597433">
              <w:rPr>
                <w:sz w:val="16"/>
              </w:rPr>
              <w:t xml:space="preserve"> geeft vorm en inhoud aan het eigen producten- en diensten</w:t>
            </w:r>
            <w:r>
              <w:rPr>
                <w:sz w:val="16"/>
              </w:rPr>
              <w:softHyphen/>
            </w:r>
            <w:r w:rsidRPr="00597433">
              <w:rPr>
                <w:sz w:val="16"/>
              </w:rPr>
              <w:t>aanbod, binnen de formule</w:t>
            </w:r>
            <w:r>
              <w:rPr>
                <w:sz w:val="16"/>
              </w:rPr>
              <w:t>-</w:t>
            </w:r>
            <w:r w:rsidRPr="00597433">
              <w:rPr>
                <w:sz w:val="16"/>
              </w:rPr>
              <w:t>uitgangspunten</w:t>
            </w:r>
            <w:r>
              <w:rPr>
                <w:sz w:val="16"/>
              </w:rPr>
              <w:t>.</w:t>
            </w:r>
          </w:p>
        </w:tc>
        <w:tc>
          <w:tcPr>
            <w:tcW w:w="87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241691" w:rsidRPr="004C3EC4" w:rsidRDefault="00241691" w:rsidP="00241691">
            <w:pPr>
              <w:spacing w:line="240" w:lineRule="auto"/>
              <w:rPr>
                <w:sz w:val="16"/>
              </w:rPr>
            </w:pPr>
          </w:p>
        </w:tc>
      </w:tr>
      <w:tr w:rsidR="00241691" w:rsidRPr="004C3EC4">
        <w:tc>
          <w:tcPr>
            <w:tcW w:w="2368" w:type="dxa"/>
          </w:tcPr>
          <w:p w:rsidR="00241691" w:rsidRPr="0036769F" w:rsidRDefault="00241691" w:rsidP="00241691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Zwaartepunt functie</w:t>
            </w:r>
          </w:p>
        </w:tc>
        <w:tc>
          <w:tcPr>
            <w:tcW w:w="810" w:type="dxa"/>
            <w:vMerge/>
          </w:tcPr>
          <w:p w:rsidR="00241691" w:rsidRPr="004C3EC4" w:rsidRDefault="00241691" w:rsidP="00241691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241691" w:rsidRPr="00597433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Bedrijfsleider</w:t>
            </w:r>
            <w:r>
              <w:rPr>
                <w:sz w:val="16"/>
              </w:rPr>
              <w:t xml:space="preserve"> II</w:t>
            </w:r>
            <w:r w:rsidRPr="00597433">
              <w:rPr>
                <w:sz w:val="16"/>
              </w:rPr>
              <w:t xml:space="preserve"> heeft een lange termijn scope (ten minste 3 jaar vooruit)</w:t>
            </w:r>
            <w:r>
              <w:rPr>
                <w:sz w:val="16"/>
              </w:rPr>
              <w:t>.</w:t>
            </w:r>
          </w:p>
          <w:p w:rsidR="00241691" w:rsidRPr="00597433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Redeneert vanuit terugverdiencapaciteit (ROI) van investeringen</w:t>
            </w:r>
            <w:r>
              <w:rPr>
                <w:sz w:val="16"/>
              </w:rPr>
              <w:t>.</w:t>
            </w:r>
          </w:p>
          <w:p w:rsidR="00241691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Eigen oordeel vormt de basis voor zijn</w:t>
            </w:r>
            <w:r>
              <w:rPr>
                <w:sz w:val="16"/>
              </w:rPr>
              <w:t>/haar</w:t>
            </w:r>
            <w:r w:rsidRPr="00597433">
              <w:rPr>
                <w:sz w:val="16"/>
              </w:rPr>
              <w:t xml:space="preserve"> voorstellen, die hij</w:t>
            </w:r>
            <w:r>
              <w:rPr>
                <w:sz w:val="16"/>
              </w:rPr>
              <w:t>/zij</w:t>
            </w:r>
            <w:r w:rsidRPr="00597433">
              <w:rPr>
                <w:sz w:val="16"/>
              </w:rPr>
              <w:t xml:space="preserve"> vervolgens toetst en in- en extern uitdraagt</w:t>
            </w:r>
            <w:r>
              <w:rPr>
                <w:sz w:val="16"/>
              </w:rPr>
              <w:t>.</w:t>
            </w:r>
          </w:p>
          <w:p w:rsidR="00241691" w:rsidRPr="00597433" w:rsidRDefault="00241691" w:rsidP="00241691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87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241691" w:rsidRPr="004C3EC4" w:rsidRDefault="00241691" w:rsidP="00241691">
            <w:pPr>
              <w:spacing w:line="240" w:lineRule="auto"/>
              <w:rPr>
                <w:sz w:val="16"/>
              </w:rPr>
            </w:pPr>
          </w:p>
        </w:tc>
      </w:tr>
      <w:tr w:rsidR="00241691" w:rsidRPr="004C3EC4">
        <w:tc>
          <w:tcPr>
            <w:tcW w:w="2368" w:type="dxa"/>
          </w:tcPr>
          <w:p w:rsidR="00241691" w:rsidRPr="0036769F" w:rsidRDefault="00241691" w:rsidP="00241691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Referentiefunctie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810" w:type="dxa"/>
            <w:vMerge/>
          </w:tcPr>
          <w:p w:rsidR="00241691" w:rsidRPr="004C3EC4" w:rsidRDefault="00241691" w:rsidP="00241691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241691" w:rsidRPr="00597433" w:rsidRDefault="00241691" w:rsidP="00241691">
            <w:pPr>
              <w:spacing w:line="160" w:lineRule="atLeast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Manager wegrestaurant (A.11.1)</w:t>
            </w:r>
          </w:p>
        </w:tc>
        <w:tc>
          <w:tcPr>
            <w:tcW w:w="87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241691" w:rsidRPr="004C3EC4" w:rsidRDefault="00241691" w:rsidP="00241691">
            <w:pPr>
              <w:spacing w:line="240" w:lineRule="auto"/>
              <w:rPr>
                <w:sz w:val="16"/>
              </w:rPr>
            </w:pPr>
          </w:p>
        </w:tc>
      </w:tr>
      <w:tr w:rsidR="00241691" w:rsidRPr="006925C7">
        <w:trPr>
          <w:trHeight w:val="170"/>
        </w:trPr>
        <w:tc>
          <w:tcPr>
            <w:tcW w:w="2368" w:type="dxa"/>
            <w:shd w:val="clear" w:color="auto" w:fill="B80526"/>
            <w:tcMar>
              <w:top w:w="28" w:type="dxa"/>
              <w:bottom w:w="28" w:type="dxa"/>
            </w:tcMar>
          </w:tcPr>
          <w:p w:rsidR="00241691" w:rsidRPr="006925C7" w:rsidRDefault="00241691" w:rsidP="00241691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810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241691" w:rsidRPr="006925C7" w:rsidRDefault="00241691" w:rsidP="00241691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9</w:t>
            </w:r>
          </w:p>
        </w:tc>
        <w:tc>
          <w:tcPr>
            <w:tcW w:w="5630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241691" w:rsidRPr="006925C7" w:rsidRDefault="00241691" w:rsidP="00241691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11 (referentie)</w:t>
            </w:r>
          </w:p>
        </w:tc>
        <w:tc>
          <w:tcPr>
            <w:tcW w:w="871" w:type="dxa"/>
            <w:shd w:val="clear" w:color="auto" w:fill="B80526"/>
            <w:tcMar>
              <w:top w:w="28" w:type="dxa"/>
              <w:bottom w:w="28" w:type="dxa"/>
            </w:tcMar>
          </w:tcPr>
          <w:p w:rsidR="00241691" w:rsidRPr="006925C7" w:rsidRDefault="00241691" w:rsidP="00241691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&gt;CAO</w:t>
            </w:r>
          </w:p>
        </w:tc>
      </w:tr>
    </w:tbl>
    <w:p w:rsidR="00241691" w:rsidRPr="00713988" w:rsidRDefault="00241691" w:rsidP="00241691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241691" w:rsidRPr="00713988" w:rsidSect="002416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5C1" w:rsidRDefault="008055C1" w:rsidP="001073D2">
      <w:pPr>
        <w:spacing w:line="240" w:lineRule="auto"/>
      </w:pPr>
      <w:r>
        <w:separator/>
      </w:r>
    </w:p>
  </w:endnote>
  <w:endnote w:type="continuationSeparator" w:id="0">
    <w:p w:rsidR="008055C1" w:rsidRDefault="008055C1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D6A" w:rsidRDefault="008C2D6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691" w:rsidRPr="008C2D6A" w:rsidRDefault="00241691" w:rsidP="008C2D6A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D6A" w:rsidRDefault="008C2D6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5C1" w:rsidRDefault="008055C1" w:rsidP="001073D2">
      <w:pPr>
        <w:spacing w:line="240" w:lineRule="auto"/>
      </w:pPr>
      <w:r>
        <w:separator/>
      </w:r>
    </w:p>
  </w:footnote>
  <w:footnote w:type="continuationSeparator" w:id="0">
    <w:p w:rsidR="008055C1" w:rsidRDefault="008055C1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D6A" w:rsidRDefault="008C2D6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691" w:rsidRPr="008C2D6A" w:rsidRDefault="00241691" w:rsidP="00241691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Bedrijfsleider</w:t>
    </w:r>
    <w:r w:rsidRPr="00BD520D">
      <w:rPr>
        <w:caps/>
        <w:color w:val="404040"/>
      </w:rPr>
      <w:tab/>
    </w:r>
    <w:r w:rsidRPr="00BD520D">
      <w:rPr>
        <w:color w:val="404040"/>
      </w:rPr>
      <w:t xml:space="preserve">Functienummer:  </w:t>
    </w:r>
    <w:r>
      <w:rPr>
        <w:color w:val="404040"/>
      </w:rPr>
      <w:t>A.11.I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D6A" w:rsidRDefault="008C2D6A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A684F"/>
    <w:rsid w:val="00241691"/>
    <w:rsid w:val="003A18DD"/>
    <w:rsid w:val="005A1C35"/>
    <w:rsid w:val="007941B4"/>
    <w:rsid w:val="007A684F"/>
    <w:rsid w:val="007F4A86"/>
    <w:rsid w:val="008055C1"/>
    <w:rsid w:val="008C2D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2011-03-21T14:29:00Z</cp:lastPrinted>
  <dcterms:created xsi:type="dcterms:W3CDTF">2011-07-21T15:48:00Z</dcterms:created>
  <dcterms:modified xsi:type="dcterms:W3CDTF">2012-06-06T11:42:00Z</dcterms:modified>
</cp:coreProperties>
</file>