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A0093F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7530F" w:rsidRPr="006925C7" w:rsidRDefault="00B7530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Bedrijfsbeheerder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0093F" w:rsidRPr="004C3EC4">
        <w:tc>
          <w:tcPr>
            <w:tcW w:w="2368" w:type="dxa"/>
            <w:shd w:val="clear" w:color="auto" w:fill="auto"/>
          </w:tcPr>
          <w:p w:rsidR="00A0093F" w:rsidRPr="00521AEC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A0093F" w:rsidRPr="00521AEC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A0093F" w:rsidRPr="004C3EC4" w:rsidRDefault="00A0093F" w:rsidP="00A0093F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Assistent bedrijfsleider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6 tot 15 (parttime) medewerkers</w:t>
            </w:r>
            <w:r>
              <w:rPr>
                <w:sz w:val="16"/>
              </w:rPr>
              <w:t>;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3 tot 8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0093F" w:rsidRPr="004C3EC4" w:rsidRDefault="00A0093F" w:rsidP="00A0093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Bedrijfsmanager</w:t>
            </w:r>
          </w:p>
        </w:tc>
      </w:tr>
      <w:tr w:rsidR="00A0093F" w:rsidRPr="004C3EC4">
        <w:tc>
          <w:tcPr>
            <w:tcW w:w="2368" w:type="dxa"/>
            <w:shd w:val="clear" w:color="auto" w:fill="auto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810" w:type="dxa"/>
            <w:vMerge/>
          </w:tcPr>
          <w:p w:rsidR="00A0093F" w:rsidRPr="004C3EC4" w:rsidRDefault="00A0093F" w:rsidP="00A009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01421A">
              <w:rPr>
                <w:sz w:val="16"/>
              </w:rPr>
              <w:t>De vestiging onderscheidt</w:t>
            </w:r>
            <w:r w:rsidRPr="00597433">
              <w:rPr>
                <w:sz w:val="16"/>
              </w:rPr>
              <w:t xml:space="preserve"> slechts een</w:t>
            </w:r>
            <w:r>
              <w:rPr>
                <w:sz w:val="16"/>
              </w:rPr>
              <w:t xml:space="preserve"> beperkt aantal disciplines (b.</w:t>
            </w:r>
            <w:r w:rsidRPr="00597433">
              <w:rPr>
                <w:sz w:val="16"/>
              </w:rPr>
              <w:t>v. bediening + beperkte keuken of receptie + kamers).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Functie kan voorkomen in een gecombineerd klein horecabedrijf.</w:t>
            </w:r>
          </w:p>
          <w:p w:rsidR="00A0093F" w:rsidRPr="00597433" w:rsidRDefault="00A0093F" w:rsidP="00A0093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i/>
                <w:sz w:val="16"/>
              </w:rPr>
            </w:pPr>
          </w:p>
        </w:tc>
      </w:tr>
      <w:tr w:rsidR="00A0093F" w:rsidRPr="004C3EC4">
        <w:tc>
          <w:tcPr>
            <w:tcW w:w="2368" w:type="dxa"/>
            <w:shd w:val="clear" w:color="auto" w:fill="auto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810" w:type="dxa"/>
            <w:vMerge/>
            <w:textDirection w:val="btLr"/>
          </w:tcPr>
          <w:p w:rsidR="00A0093F" w:rsidRPr="004C3EC4" w:rsidRDefault="00A0093F" w:rsidP="00A009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reguliere besluiten worden genomen door (meewerkend) eigenaar.  De bedrijfsbeheerder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werkt volgens richtlijnen van de (meewerkend) eigenaar. 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Indien zich pr</w:t>
            </w:r>
            <w:r>
              <w:rPr>
                <w:sz w:val="16"/>
              </w:rPr>
              <w:t xml:space="preserve">oblemen voordoen die al eerder </w:t>
            </w:r>
            <w:r w:rsidRPr="00597433">
              <w:rPr>
                <w:sz w:val="16"/>
              </w:rPr>
              <w:t>aan de orde zijn geweest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neemt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zelf een besluit en koppelt dat achteraf terug. Alleen bij evident afwijkende situaties valt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terug op de (meewerkend) eigenaar.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Van de functiehouder wordt verwacht dat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actief meedenkt en input geeft voor verbetering/optimalisatie van de dienstverlening en (werk)pro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cessen.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moet dus oplossingen voor knelpunten en problemen aan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dragen op basis van zijn eigen ervaring.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heeft een bijdrage op</w:t>
            </w:r>
            <w:r>
              <w:rPr>
                <w:sz w:val="16"/>
              </w:rPr>
              <w:t xml:space="preserve"> de ontwikkeling van het </w:t>
            </w:r>
            <w:r w:rsidRPr="00597433">
              <w:rPr>
                <w:sz w:val="16"/>
              </w:rPr>
              <w:t>bedrijfsresultaat</w:t>
            </w:r>
            <w:r>
              <w:rPr>
                <w:sz w:val="16"/>
              </w:rPr>
              <w:t>.</w:t>
            </w:r>
          </w:p>
          <w:p w:rsidR="00A0093F" w:rsidRPr="00597433" w:rsidRDefault="00A0093F" w:rsidP="00A0093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i/>
                <w:sz w:val="16"/>
              </w:rPr>
            </w:pPr>
          </w:p>
        </w:tc>
      </w:tr>
      <w:tr w:rsidR="00A0093F" w:rsidRPr="004C3EC4">
        <w:tc>
          <w:tcPr>
            <w:tcW w:w="2368" w:type="dxa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A0093F" w:rsidRPr="004C3EC4" w:rsidRDefault="00A0093F" w:rsidP="00A0093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 bedrijfsbeheerder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is te typeren als de meewerkend voorman.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richt zich vooral op de operationele aansturing (dagelijkse coördinatie, planning, aansturing personeel) en de voorbereiding (openen/opstarten en sluiten van vestiging, dagelijkse bestellingen).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 bedrijfsbeh</w:t>
            </w:r>
            <w:r>
              <w:rPr>
                <w:sz w:val="16"/>
              </w:rPr>
              <w:t xml:space="preserve">eerder II heeft een korte termijn </w:t>
            </w:r>
            <w:r w:rsidRPr="00597433">
              <w:rPr>
                <w:sz w:val="16"/>
              </w:rPr>
              <w:t>focus (enkele weken vooruit)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maar wordt omdat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overzicht heeft op het gehele werk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proces door de eigenaar ook betrokken in de discussie over de verbe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tering van de bedrijfsprocessen</w:t>
            </w:r>
            <w:r>
              <w:rPr>
                <w:sz w:val="16"/>
              </w:rPr>
              <w:t>, aanschaf van apparatuur en lok</w:t>
            </w:r>
            <w:r w:rsidRPr="00597433">
              <w:rPr>
                <w:sz w:val="16"/>
              </w:rPr>
              <w:t>ale promotie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acties.</w:t>
            </w:r>
          </w:p>
          <w:p w:rsidR="00A0093F" w:rsidRPr="00597433" w:rsidRDefault="00A0093F" w:rsidP="00A0093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sz w:val="16"/>
              </w:rPr>
            </w:pPr>
          </w:p>
        </w:tc>
      </w:tr>
      <w:tr w:rsidR="00A0093F" w:rsidRPr="004C3EC4">
        <w:tc>
          <w:tcPr>
            <w:tcW w:w="2368" w:type="dxa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A0093F" w:rsidRPr="004C3EC4" w:rsidRDefault="00A0093F" w:rsidP="00A0093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Pr="00597433" w:rsidRDefault="00A0093F" w:rsidP="00A0093F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sz w:val="16"/>
              </w:rPr>
            </w:pPr>
          </w:p>
        </w:tc>
      </w:tr>
      <w:tr w:rsidR="00A0093F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A0093F" w:rsidRPr="00713988" w:rsidRDefault="00A0093F" w:rsidP="00A0093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0093F" w:rsidRPr="00713988" w:rsidSect="00A00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0F" w:rsidRDefault="00B7530F" w:rsidP="001073D2">
      <w:pPr>
        <w:spacing w:line="240" w:lineRule="auto"/>
      </w:pPr>
      <w:r>
        <w:separator/>
      </w:r>
    </w:p>
  </w:endnote>
  <w:endnote w:type="continuationSeparator" w:id="0">
    <w:p w:rsidR="00B7530F" w:rsidRDefault="00B7530F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31" w:rsidRDefault="009A33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3F" w:rsidRPr="009A3331" w:rsidRDefault="00A0093F" w:rsidP="009A333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31" w:rsidRDefault="009A33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0F" w:rsidRDefault="00B7530F" w:rsidP="001073D2">
      <w:pPr>
        <w:spacing w:line="240" w:lineRule="auto"/>
      </w:pPr>
      <w:r>
        <w:separator/>
      </w:r>
    </w:p>
  </w:footnote>
  <w:footnote w:type="continuationSeparator" w:id="0">
    <w:p w:rsidR="00B7530F" w:rsidRDefault="00B7530F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31" w:rsidRDefault="009A33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3F" w:rsidRPr="009A3331" w:rsidRDefault="00A0093F" w:rsidP="00A0093F">
    <w:pPr>
      <w:pStyle w:val="Koptekst"/>
      <w:tabs>
        <w:tab w:val="clear" w:pos="4153"/>
        <w:tab w:val="clear" w:pos="8306"/>
        <w:tab w:val="center" w:pos="8364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Bedrijfsbeheerder</w:t>
    </w:r>
    <w:r w:rsidRPr="00BD520D">
      <w:rPr>
        <w:caps/>
        <w:color w:val="404040"/>
      </w:rPr>
      <w:tab/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31" w:rsidRDefault="009A333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2E4D"/>
    <w:rsid w:val="006F2E4D"/>
    <w:rsid w:val="009A3331"/>
    <w:rsid w:val="00A0093F"/>
    <w:rsid w:val="00B7530F"/>
    <w:rsid w:val="00B95FA3"/>
    <w:rsid w:val="00F07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2011-03-21T13:55:00Z</cp:lastPrinted>
  <dcterms:created xsi:type="dcterms:W3CDTF">2011-07-21T15:48:00Z</dcterms:created>
  <dcterms:modified xsi:type="dcterms:W3CDTF">2012-06-06T11:16:00Z</dcterms:modified>
</cp:coreProperties>
</file>