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4914"/>
        <w:gridCol w:w="4914"/>
        <w:gridCol w:w="4914"/>
      </w:tblGrid>
      <w:tr w:rsidR="00952C42" w:rsidRPr="00B67509">
        <w:trPr>
          <w:trHeight w:val="284"/>
        </w:trPr>
        <w:tc>
          <w:tcPr>
            <w:tcW w:w="4914" w:type="dxa"/>
            <w:tcBorders>
              <w:bottom w:val="single" w:sz="4" w:space="0" w:color="auto"/>
            </w:tcBorders>
            <w:shd w:val="clear" w:color="auto" w:fill="B80526"/>
            <w:tcMar>
              <w:top w:w="28" w:type="dxa"/>
              <w:bottom w:w="28" w:type="dxa"/>
            </w:tcMar>
            <w:vAlign w:val="center"/>
          </w:tcPr>
          <w:p w:rsidR="008A2FFA" w:rsidRPr="00B67509" w:rsidRDefault="004104EF" w:rsidP="00952C42">
            <w:pPr>
              <w:spacing w:line="220" w:lineRule="atLeast"/>
              <w:jc w:val="center"/>
              <w:rPr>
                <w:b/>
                <w:color w:val="FFFFFF"/>
                <w:sz w:val="18"/>
              </w:rPr>
            </w:pPr>
            <w:r>
              <w:rPr>
                <w:b/>
                <w:color w:val="FFFFFF"/>
                <w:sz w:val="18"/>
              </w:rPr>
              <w:t xml:space="preserve">-  </w:t>
            </w:r>
            <w:r w:rsidRPr="00B67509">
              <w:rPr>
                <w:b/>
                <w:color w:val="FFFFFF"/>
                <w:sz w:val="18"/>
              </w:rPr>
              <w:t>VARIANT</w:t>
            </w:r>
          </w:p>
        </w:tc>
        <w:tc>
          <w:tcPr>
            <w:tcW w:w="4914" w:type="dxa"/>
            <w:shd w:val="clear" w:color="auto" w:fill="B80526"/>
            <w:tcMar>
              <w:top w:w="28" w:type="dxa"/>
              <w:bottom w:w="28" w:type="dxa"/>
            </w:tcMar>
            <w:vAlign w:val="center"/>
          </w:tcPr>
          <w:p w:rsidR="00952C42" w:rsidRPr="00A9384C" w:rsidRDefault="00952C42" w:rsidP="00952C42">
            <w:pPr>
              <w:spacing w:line="220" w:lineRule="atLeast"/>
              <w:jc w:val="center"/>
              <w:rPr>
                <w:b/>
                <w:caps/>
                <w:color w:val="FFFFFF"/>
                <w:sz w:val="18"/>
              </w:rPr>
            </w:pPr>
            <w:r>
              <w:rPr>
                <w:b/>
                <w:caps/>
                <w:color w:val="FFFFFF"/>
                <w:sz w:val="18"/>
              </w:rPr>
              <w:t>voorman spoelkeuken</w:t>
            </w:r>
          </w:p>
        </w:tc>
        <w:tc>
          <w:tcPr>
            <w:tcW w:w="4914" w:type="dxa"/>
            <w:shd w:val="clear" w:color="auto" w:fill="B80526"/>
            <w:tcMar>
              <w:top w:w="28" w:type="dxa"/>
              <w:bottom w:w="28" w:type="dxa"/>
            </w:tcMar>
            <w:vAlign w:val="center"/>
          </w:tcPr>
          <w:p w:rsidR="00952C42" w:rsidRPr="00B67509" w:rsidRDefault="00952C42" w:rsidP="00952C42">
            <w:pPr>
              <w:spacing w:line="220" w:lineRule="atLeast"/>
              <w:jc w:val="center"/>
              <w:rPr>
                <w:b/>
                <w:color w:val="FFFFFF"/>
                <w:sz w:val="18"/>
              </w:rPr>
            </w:pPr>
            <w:r w:rsidRPr="00B67509">
              <w:rPr>
                <w:b/>
                <w:color w:val="FFFFFF"/>
                <w:sz w:val="18"/>
              </w:rPr>
              <w:t>+  VARIANT</w:t>
            </w:r>
          </w:p>
        </w:tc>
      </w:tr>
      <w:tr w:rsidR="00952C42" w:rsidRPr="00B67509">
        <w:trPr>
          <w:trHeight w:val="2286"/>
        </w:trPr>
        <w:tc>
          <w:tcPr>
            <w:tcW w:w="4914" w:type="dxa"/>
            <w:vMerge w:val="restart"/>
            <w:tcBorders>
              <w:top w:val="single" w:sz="4" w:space="0" w:color="auto"/>
            </w:tcBorders>
            <w:tcMar>
              <w:top w:w="113" w:type="dxa"/>
              <w:bottom w:w="113" w:type="dxa"/>
            </w:tcMar>
          </w:tcPr>
          <w:p w:rsidR="00952C42" w:rsidRPr="00B67509" w:rsidRDefault="00952C42" w:rsidP="00952C42">
            <w:pPr>
              <w:spacing w:line="200" w:lineRule="atLeast"/>
              <w:rPr>
                <w:sz w:val="16"/>
              </w:rPr>
            </w:pPr>
            <w:r w:rsidRPr="00B67509">
              <w:rPr>
                <w:sz w:val="16"/>
              </w:rPr>
              <w:t xml:space="preserve">Er is sprake van een inschaling in een lagere groep als de bedrijfsfunctie minder verantwoordelijkheden </w:t>
            </w:r>
            <w:r>
              <w:rPr>
                <w:sz w:val="16"/>
              </w:rPr>
              <w:t xml:space="preserve">heeft, </w:t>
            </w:r>
            <w:r w:rsidRPr="00B67509">
              <w:rPr>
                <w:sz w:val="16"/>
              </w:rPr>
              <w:t>doordat er sprake is van h</w:t>
            </w:r>
            <w:r w:rsidRPr="009A2C2B">
              <w:rPr>
                <w:sz w:val="16"/>
              </w:rPr>
              <w:t>et zelf meewerke</w:t>
            </w:r>
            <w:r>
              <w:rPr>
                <w:sz w:val="16"/>
              </w:rPr>
              <w:t>n en het slechts aansturen van één of twee</w:t>
            </w:r>
            <w:r w:rsidRPr="009A2C2B">
              <w:rPr>
                <w:sz w:val="16"/>
              </w:rPr>
              <w:t xml:space="preserve"> niet in verschoven diensten werkende medewerkers.</w:t>
            </w:r>
          </w:p>
        </w:tc>
        <w:tc>
          <w:tcPr>
            <w:tcW w:w="4914" w:type="dxa"/>
            <w:tcBorders>
              <w:bottom w:val="single" w:sz="4" w:space="0" w:color="auto"/>
            </w:tcBorders>
            <w:shd w:val="clear" w:color="auto" w:fill="D9D9D9"/>
            <w:tcMar>
              <w:top w:w="113" w:type="dxa"/>
              <w:bottom w:w="113" w:type="dxa"/>
            </w:tcMar>
          </w:tcPr>
          <w:p w:rsidR="00952C42" w:rsidRPr="00AC4386" w:rsidRDefault="00952C42" w:rsidP="00952C42">
            <w:pPr>
              <w:spacing w:line="200" w:lineRule="atLeast"/>
              <w:ind w:left="284" w:hanging="284"/>
              <w:jc w:val="center"/>
              <w:rPr>
                <w:sz w:val="16"/>
              </w:rPr>
            </w:pPr>
            <w:r w:rsidRPr="00AC4386">
              <w:rPr>
                <w:sz w:val="16"/>
              </w:rPr>
              <w:t>Dit niveau is omschreve</w:t>
            </w:r>
            <w:r>
              <w:rPr>
                <w:sz w:val="16"/>
              </w:rPr>
              <w:t>n in de referentiefunctie K.3.I</w:t>
            </w:r>
          </w:p>
          <w:p w:rsidR="00952C42" w:rsidRPr="00AC4386" w:rsidRDefault="00952C42" w:rsidP="00952C42">
            <w:pPr>
              <w:spacing w:line="200" w:lineRule="atLeast"/>
              <w:ind w:left="284" w:hanging="284"/>
              <w:jc w:val="center"/>
              <w:rPr>
                <w:sz w:val="16"/>
              </w:rPr>
            </w:pPr>
          </w:p>
          <w:p w:rsidR="00952C42" w:rsidRPr="00AC4386" w:rsidRDefault="00952C42" w:rsidP="00952C42">
            <w:pPr>
              <w:spacing w:line="200" w:lineRule="atLeast"/>
              <w:ind w:left="284" w:hanging="284"/>
              <w:jc w:val="center"/>
              <w:rPr>
                <w:sz w:val="16"/>
              </w:rPr>
            </w:pPr>
            <w:r>
              <w:rPr>
                <w:sz w:val="16"/>
              </w:rPr>
              <w:t>VOORMAN SPOELKEUKEN</w:t>
            </w:r>
          </w:p>
        </w:tc>
        <w:tc>
          <w:tcPr>
            <w:tcW w:w="4914" w:type="dxa"/>
            <w:vMerge w:val="restart"/>
            <w:tcMar>
              <w:top w:w="113" w:type="dxa"/>
              <w:bottom w:w="113" w:type="dxa"/>
            </w:tcMar>
          </w:tcPr>
          <w:p w:rsidR="00952C42" w:rsidRPr="00B67509" w:rsidRDefault="00952C42" w:rsidP="00952C42">
            <w:pPr>
              <w:spacing w:line="200" w:lineRule="atLeast"/>
              <w:rPr>
                <w:sz w:val="16"/>
              </w:rPr>
            </w:pPr>
            <w:r w:rsidRPr="00B67509">
              <w:rPr>
                <w:sz w:val="16"/>
              </w:rPr>
              <w:t>Er is sprake van een inschaling in een hogere groep als de bedrijfs</w:t>
            </w:r>
            <w:r>
              <w:rPr>
                <w:sz w:val="16"/>
              </w:rPr>
              <w:softHyphen/>
            </w:r>
            <w:r w:rsidRPr="00B67509">
              <w:rPr>
                <w:sz w:val="16"/>
              </w:rPr>
              <w:t>functie meer verantwoordelijkheden</w:t>
            </w:r>
            <w:r>
              <w:rPr>
                <w:sz w:val="16"/>
              </w:rPr>
              <w:t xml:space="preserve"> heeft,</w:t>
            </w:r>
            <w:r w:rsidRPr="00B67509">
              <w:rPr>
                <w:sz w:val="16"/>
              </w:rPr>
              <w:t xml:space="preserve"> doordat er sprake is van:</w:t>
            </w:r>
          </w:p>
          <w:p w:rsidR="00952C42" w:rsidRPr="00B67509" w:rsidRDefault="00952C42" w:rsidP="00952C42">
            <w:pPr>
              <w:spacing w:line="200" w:lineRule="atLeast"/>
              <w:ind w:left="284" w:hanging="284"/>
              <w:rPr>
                <w:sz w:val="16"/>
              </w:rPr>
            </w:pPr>
            <w:r>
              <w:rPr>
                <w:sz w:val="16"/>
              </w:rPr>
              <w:t>-</w:t>
            </w:r>
            <w:r>
              <w:rPr>
                <w:sz w:val="16"/>
              </w:rPr>
              <w:tab/>
              <w:t>het leiding</w:t>
            </w:r>
            <w:r w:rsidRPr="00B67509">
              <w:rPr>
                <w:sz w:val="16"/>
              </w:rPr>
              <w:t>geven aan een substantieel grotere groep mede</w:t>
            </w:r>
            <w:r>
              <w:rPr>
                <w:sz w:val="16"/>
              </w:rPr>
              <w:softHyphen/>
            </w:r>
            <w:r w:rsidRPr="00B67509">
              <w:rPr>
                <w:sz w:val="16"/>
              </w:rPr>
              <w:t>werkers, waarbij er sprake is van hiërarchisch leidinggeven (voeren van beoordelingsgesprekken, doen van salaris</w:t>
            </w:r>
            <w:r>
              <w:rPr>
                <w:sz w:val="16"/>
              </w:rPr>
              <w:softHyphen/>
            </w:r>
            <w:r w:rsidRPr="00B67509">
              <w:rPr>
                <w:sz w:val="16"/>
              </w:rPr>
              <w:t>voorstellen e.d.)</w:t>
            </w:r>
            <w:r>
              <w:rPr>
                <w:sz w:val="16"/>
              </w:rPr>
              <w:t>;</w:t>
            </w:r>
          </w:p>
          <w:p w:rsidR="00952C42" w:rsidRPr="00B67509" w:rsidRDefault="00952C42" w:rsidP="00952C42">
            <w:pPr>
              <w:spacing w:line="200" w:lineRule="atLeast"/>
              <w:ind w:left="284" w:hanging="284"/>
              <w:rPr>
                <w:sz w:val="16"/>
              </w:rPr>
            </w:pPr>
            <w:r w:rsidRPr="00B67509">
              <w:rPr>
                <w:sz w:val="16"/>
              </w:rPr>
              <w:t>-</w:t>
            </w:r>
            <w:r w:rsidRPr="00B67509">
              <w:rPr>
                <w:sz w:val="16"/>
              </w:rPr>
              <w:tab/>
              <w:t>een breder aandachtsgebied dan alleen de spoelkeuken, zoals het (naast de spoelkeuken) ook aansturen van de schoonmaak in de productieruimten of het op locatie aansturen van het verzamelen van ‘vuile vaat’ (met name tijdens evenementen e.d.)</w:t>
            </w:r>
            <w:r>
              <w:rPr>
                <w:sz w:val="16"/>
              </w:rPr>
              <w:t>.</w:t>
            </w:r>
          </w:p>
        </w:tc>
      </w:tr>
      <w:tr w:rsidR="00952C42" w:rsidRPr="00B67509">
        <w:trPr>
          <w:trHeight w:val="1420"/>
        </w:trPr>
        <w:tc>
          <w:tcPr>
            <w:tcW w:w="4914" w:type="dxa"/>
            <w:vMerge/>
            <w:tcBorders>
              <w:bottom w:val="single" w:sz="4" w:space="0" w:color="auto"/>
            </w:tcBorders>
            <w:tcMar>
              <w:top w:w="113" w:type="dxa"/>
              <w:bottom w:w="113" w:type="dxa"/>
            </w:tcMar>
          </w:tcPr>
          <w:p w:rsidR="00952C42" w:rsidRPr="00B67509" w:rsidRDefault="00952C42" w:rsidP="00952C42">
            <w:pPr>
              <w:spacing w:line="200" w:lineRule="atLeast"/>
              <w:rPr>
                <w:sz w:val="16"/>
              </w:rPr>
            </w:pPr>
          </w:p>
        </w:tc>
        <w:tc>
          <w:tcPr>
            <w:tcW w:w="4914" w:type="dxa"/>
            <w:tcBorders>
              <w:bottom w:val="single" w:sz="4" w:space="0" w:color="auto"/>
            </w:tcBorders>
            <w:shd w:val="clear" w:color="auto" w:fill="D9D9D9"/>
            <w:tcMar>
              <w:top w:w="113" w:type="dxa"/>
              <w:bottom w:w="113" w:type="dxa"/>
            </w:tcMar>
          </w:tcPr>
          <w:p w:rsidR="00952C42" w:rsidRDefault="00952C42" w:rsidP="00952C42">
            <w:pPr>
              <w:spacing w:line="200" w:lineRule="atLeast"/>
              <w:rPr>
                <w:sz w:val="16"/>
              </w:rPr>
            </w:pPr>
            <w:r>
              <w:rPr>
                <w:sz w:val="16"/>
              </w:rPr>
              <w:t>Referentiefunctie handboek 2002</w:t>
            </w:r>
            <w:r w:rsidRPr="00B67509">
              <w:rPr>
                <w:sz w:val="16"/>
              </w:rPr>
              <w:t>:</w:t>
            </w:r>
          </w:p>
          <w:p w:rsidR="00952C42" w:rsidRDefault="00952C42" w:rsidP="00952C42">
            <w:pPr>
              <w:spacing w:line="200" w:lineRule="atLeast"/>
              <w:ind w:left="284" w:hanging="284"/>
              <w:rPr>
                <w:sz w:val="16"/>
              </w:rPr>
            </w:pPr>
            <w:r>
              <w:rPr>
                <w:sz w:val="16"/>
              </w:rPr>
              <w:t>-</w:t>
            </w:r>
            <w:r>
              <w:rPr>
                <w:sz w:val="16"/>
              </w:rPr>
              <w:tab/>
              <w:t>Voorman spoelkeuken (S.3.1)</w:t>
            </w:r>
          </w:p>
          <w:p w:rsidR="00952C42" w:rsidRDefault="00952C42" w:rsidP="00952C42">
            <w:pPr>
              <w:spacing w:line="200" w:lineRule="atLeast"/>
              <w:rPr>
                <w:sz w:val="16"/>
              </w:rPr>
            </w:pPr>
          </w:p>
        </w:tc>
        <w:tc>
          <w:tcPr>
            <w:tcW w:w="4914" w:type="dxa"/>
            <w:vMerge/>
            <w:tcBorders>
              <w:bottom w:val="single" w:sz="4" w:space="0" w:color="auto"/>
            </w:tcBorders>
            <w:tcMar>
              <w:top w:w="113" w:type="dxa"/>
              <w:bottom w:w="113" w:type="dxa"/>
            </w:tcMar>
          </w:tcPr>
          <w:p w:rsidR="00952C42" w:rsidRPr="00B67509" w:rsidRDefault="00952C42" w:rsidP="00952C42">
            <w:pPr>
              <w:spacing w:line="200" w:lineRule="atLeast"/>
              <w:rPr>
                <w:sz w:val="16"/>
              </w:rPr>
            </w:pPr>
          </w:p>
        </w:tc>
      </w:tr>
      <w:tr w:rsidR="00952C42" w:rsidRPr="00B67509">
        <w:tblPrEx>
          <w:tblLook w:val="04A0" w:firstRow="1" w:lastRow="0" w:firstColumn="1" w:lastColumn="0" w:noHBand="0" w:noVBand="1"/>
        </w:tblPrEx>
        <w:trPr>
          <w:trHeight w:val="284"/>
        </w:trPr>
        <w:tc>
          <w:tcPr>
            <w:tcW w:w="4914" w:type="dxa"/>
            <w:shd w:val="clear" w:color="auto" w:fill="B80526"/>
            <w:tcMar>
              <w:top w:w="28" w:type="dxa"/>
              <w:bottom w:w="28" w:type="dxa"/>
            </w:tcMar>
            <w:vAlign w:val="center"/>
          </w:tcPr>
          <w:p w:rsidR="00952C42" w:rsidRPr="00B67509" w:rsidRDefault="00952C42" w:rsidP="00952C42">
            <w:pPr>
              <w:spacing w:line="220" w:lineRule="atLeast"/>
              <w:jc w:val="center"/>
              <w:rPr>
                <w:b/>
                <w:color w:val="FFFFFF"/>
                <w:sz w:val="18"/>
              </w:rPr>
            </w:pPr>
            <w:r>
              <w:rPr>
                <w:b/>
                <w:color w:val="FFFFFF"/>
                <w:sz w:val="18"/>
              </w:rPr>
              <w:t>2</w:t>
            </w:r>
          </w:p>
        </w:tc>
        <w:tc>
          <w:tcPr>
            <w:tcW w:w="4914" w:type="dxa"/>
            <w:shd w:val="clear" w:color="auto" w:fill="B80526"/>
            <w:tcMar>
              <w:top w:w="28" w:type="dxa"/>
              <w:bottom w:w="28" w:type="dxa"/>
            </w:tcMar>
            <w:vAlign w:val="center"/>
          </w:tcPr>
          <w:p w:rsidR="00952C42" w:rsidRPr="00B67509" w:rsidRDefault="00952C42" w:rsidP="00952C42">
            <w:pPr>
              <w:spacing w:line="220" w:lineRule="atLeast"/>
              <w:jc w:val="center"/>
              <w:rPr>
                <w:b/>
                <w:color w:val="FFFFFF"/>
                <w:sz w:val="18"/>
              </w:rPr>
            </w:pPr>
            <w:r>
              <w:rPr>
                <w:b/>
                <w:color w:val="FFFFFF"/>
                <w:sz w:val="18"/>
              </w:rPr>
              <w:t>3 (referentie)</w:t>
            </w:r>
          </w:p>
        </w:tc>
        <w:tc>
          <w:tcPr>
            <w:tcW w:w="4914" w:type="dxa"/>
            <w:shd w:val="clear" w:color="auto" w:fill="B80526"/>
            <w:tcMar>
              <w:top w:w="28" w:type="dxa"/>
              <w:bottom w:w="28" w:type="dxa"/>
            </w:tcMar>
            <w:vAlign w:val="center"/>
          </w:tcPr>
          <w:p w:rsidR="00952C42" w:rsidRPr="00B67509" w:rsidRDefault="00952C42" w:rsidP="00952C42">
            <w:pPr>
              <w:spacing w:line="220" w:lineRule="atLeast"/>
              <w:jc w:val="center"/>
              <w:rPr>
                <w:b/>
                <w:color w:val="FFFFFF"/>
                <w:sz w:val="18"/>
              </w:rPr>
            </w:pPr>
            <w:r>
              <w:rPr>
                <w:b/>
                <w:color w:val="FFFFFF"/>
                <w:sz w:val="18"/>
              </w:rPr>
              <w:t>4</w:t>
            </w:r>
          </w:p>
        </w:tc>
      </w:tr>
    </w:tbl>
    <w:p w:rsidR="00952C42" w:rsidRPr="001073D2" w:rsidRDefault="00952C42" w:rsidP="00952C42">
      <w:pPr>
        <w:spacing w:line="220" w:lineRule="atLeast"/>
      </w:pPr>
    </w:p>
    <w:sectPr w:rsidR="00952C42" w:rsidRPr="001073D2" w:rsidSect="00952C42">
      <w:headerReference w:type="even" r:id="rId8"/>
      <w:headerReference w:type="default" r:id="rId9"/>
      <w:footerReference w:type="even" r:id="rId10"/>
      <w:footerReference w:type="default" r:id="rId11"/>
      <w:headerReference w:type="first" r:id="rId12"/>
      <w:footerReference w:type="first" r:id="rId13"/>
      <w:pgSz w:w="16838" w:h="11899" w:orient="landscape"/>
      <w:pgMar w:top="1701" w:right="1134"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AA5" w:rsidRDefault="004104EF" w:rsidP="001073D2">
      <w:pPr>
        <w:spacing w:line="240" w:lineRule="auto"/>
      </w:pPr>
      <w:r>
        <w:separator/>
      </w:r>
    </w:p>
  </w:endnote>
  <w:endnote w:type="continuationSeparator" w:id="0">
    <w:p w:rsidR="00AB0AA5" w:rsidRDefault="004104EF"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9E" w:rsidRDefault="0047219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42" w:rsidRPr="0047219E" w:rsidRDefault="00952C42" w:rsidP="0047219E">
    <w:pPr>
      <w:pStyle w:val="Voettekst"/>
    </w:pPr>
    <w:bookmarkStart w:id="0" w:name="_GoBack"/>
    <w:bookmarkEnd w:id="0"/>
    <w:r w:rsidRPr="0047219E">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9E" w:rsidRDefault="0047219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AA5" w:rsidRDefault="004104EF" w:rsidP="001073D2">
      <w:pPr>
        <w:spacing w:line="240" w:lineRule="auto"/>
      </w:pPr>
      <w:r>
        <w:separator/>
      </w:r>
    </w:p>
  </w:footnote>
  <w:footnote w:type="continuationSeparator" w:id="0">
    <w:p w:rsidR="00AB0AA5" w:rsidRDefault="004104EF"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9E" w:rsidRDefault="0047219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42" w:rsidRPr="004B5A50" w:rsidRDefault="00952C42" w:rsidP="00952C42">
    <w:pPr>
      <w:pStyle w:val="Koptekst"/>
      <w:tabs>
        <w:tab w:val="clear" w:pos="8306"/>
        <w:tab w:val="right" w:pos="14601"/>
      </w:tabs>
      <w:ind w:right="0"/>
      <w:jc w:val="left"/>
    </w:pPr>
    <w:r w:rsidRPr="004B5A50">
      <w:rPr>
        <w:lang w:eastAsia="nl-NL"/>
      </w:rPr>
      <w:t xml:space="preserve">Indelingshulpmiddel bij meer of minder verantwoordelijkheden dan de referentiefunctie: </w:t>
    </w:r>
    <w:r>
      <w:rPr>
        <w:lang w:eastAsia="nl-NL"/>
      </w:rPr>
      <w:t>Voorman spoelkeuken</w:t>
    </w:r>
    <w:r w:rsidRPr="004B5A50">
      <w:rPr>
        <w:caps/>
        <w:lang w:eastAsia="nl-NL"/>
      </w:rPr>
      <w:tab/>
    </w:r>
    <w:r w:rsidRPr="004B5A50">
      <w:rPr>
        <w:lang w:eastAsia="nl-NL"/>
      </w:rPr>
      <w:t>F</w:t>
    </w:r>
    <w:r>
      <w:rPr>
        <w:lang w:eastAsia="nl-NL"/>
      </w:rPr>
      <w:t>unctienummer:  K.3.I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9E" w:rsidRDefault="0047219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611FE"/>
    <w:multiLevelType w:val="hybridMultilevel"/>
    <w:tmpl w:val="0BD8C79A"/>
    <w:lvl w:ilvl="0" w:tplc="A5262794">
      <w:start w:val="2"/>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7D74271D"/>
    <w:multiLevelType w:val="hybridMultilevel"/>
    <w:tmpl w:val="AF783032"/>
    <w:lvl w:ilvl="0" w:tplc="D75039E0">
      <w:start w:val="2"/>
      <w:numFmt w:val="bullet"/>
      <w:lvlText w:val="-"/>
      <w:lvlJc w:val="left"/>
      <w:pPr>
        <w:tabs>
          <w:tab w:val="num" w:pos="502"/>
        </w:tabs>
        <w:ind w:left="502" w:hanging="360"/>
      </w:pPr>
      <w:rPr>
        <w:rFonts w:ascii="Arial" w:eastAsia="Times New Roman" w:hAnsi="Arial" w:hint="default"/>
        <w:w w:val="0"/>
      </w:rPr>
    </w:lvl>
    <w:lvl w:ilvl="1" w:tplc="00030409" w:tentative="1">
      <w:start w:val="1"/>
      <w:numFmt w:val="bullet"/>
      <w:lvlText w:val="o"/>
      <w:lvlJc w:val="left"/>
      <w:pPr>
        <w:tabs>
          <w:tab w:val="num" w:pos="1222"/>
        </w:tabs>
        <w:ind w:left="1222" w:hanging="360"/>
      </w:pPr>
      <w:rPr>
        <w:rFonts w:ascii="Courier New" w:hAnsi="Courier New" w:hint="default"/>
      </w:rPr>
    </w:lvl>
    <w:lvl w:ilvl="2" w:tplc="00050409" w:tentative="1">
      <w:start w:val="1"/>
      <w:numFmt w:val="bullet"/>
      <w:lvlText w:val=""/>
      <w:lvlJc w:val="left"/>
      <w:pPr>
        <w:tabs>
          <w:tab w:val="num" w:pos="1942"/>
        </w:tabs>
        <w:ind w:left="1942" w:hanging="360"/>
      </w:pPr>
      <w:rPr>
        <w:rFonts w:ascii="Wingdings" w:hAnsi="Wingdings" w:hint="default"/>
      </w:rPr>
    </w:lvl>
    <w:lvl w:ilvl="3" w:tplc="00010409" w:tentative="1">
      <w:start w:val="1"/>
      <w:numFmt w:val="bullet"/>
      <w:lvlText w:val=""/>
      <w:lvlJc w:val="left"/>
      <w:pPr>
        <w:tabs>
          <w:tab w:val="num" w:pos="2662"/>
        </w:tabs>
        <w:ind w:left="2662" w:hanging="360"/>
      </w:pPr>
      <w:rPr>
        <w:rFonts w:ascii="Symbol" w:hAnsi="Symbol" w:hint="default"/>
      </w:rPr>
    </w:lvl>
    <w:lvl w:ilvl="4" w:tplc="00030409" w:tentative="1">
      <w:start w:val="1"/>
      <w:numFmt w:val="bullet"/>
      <w:lvlText w:val="o"/>
      <w:lvlJc w:val="left"/>
      <w:pPr>
        <w:tabs>
          <w:tab w:val="num" w:pos="3382"/>
        </w:tabs>
        <w:ind w:left="3382" w:hanging="360"/>
      </w:pPr>
      <w:rPr>
        <w:rFonts w:ascii="Courier New" w:hAnsi="Courier New" w:hint="default"/>
      </w:rPr>
    </w:lvl>
    <w:lvl w:ilvl="5" w:tplc="00050409" w:tentative="1">
      <w:start w:val="1"/>
      <w:numFmt w:val="bullet"/>
      <w:lvlText w:val=""/>
      <w:lvlJc w:val="left"/>
      <w:pPr>
        <w:tabs>
          <w:tab w:val="num" w:pos="4102"/>
        </w:tabs>
        <w:ind w:left="4102" w:hanging="360"/>
      </w:pPr>
      <w:rPr>
        <w:rFonts w:ascii="Wingdings" w:hAnsi="Wingdings" w:hint="default"/>
      </w:rPr>
    </w:lvl>
    <w:lvl w:ilvl="6" w:tplc="00010409" w:tentative="1">
      <w:start w:val="1"/>
      <w:numFmt w:val="bullet"/>
      <w:lvlText w:val=""/>
      <w:lvlJc w:val="left"/>
      <w:pPr>
        <w:tabs>
          <w:tab w:val="num" w:pos="4822"/>
        </w:tabs>
        <w:ind w:left="4822" w:hanging="360"/>
      </w:pPr>
      <w:rPr>
        <w:rFonts w:ascii="Symbol" w:hAnsi="Symbol" w:hint="default"/>
      </w:rPr>
    </w:lvl>
    <w:lvl w:ilvl="7" w:tplc="00030409" w:tentative="1">
      <w:start w:val="1"/>
      <w:numFmt w:val="bullet"/>
      <w:lvlText w:val="o"/>
      <w:lvlJc w:val="left"/>
      <w:pPr>
        <w:tabs>
          <w:tab w:val="num" w:pos="5542"/>
        </w:tabs>
        <w:ind w:left="5542" w:hanging="360"/>
      </w:pPr>
      <w:rPr>
        <w:rFonts w:ascii="Courier New" w:hAnsi="Courier New" w:hint="default"/>
      </w:rPr>
    </w:lvl>
    <w:lvl w:ilvl="8" w:tplc="00050409"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D7D0E"/>
    <w:rsid w:val="004104EF"/>
    <w:rsid w:val="0047219E"/>
    <w:rsid w:val="00952C42"/>
    <w:rsid w:val="009D7D0E"/>
    <w:rsid w:val="00AB0AA5"/>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880</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1024</CharactersWithSpaces>
  <SharedDoc>false</SharedDoc>
  <HLinks>
    <vt:vector size="6" baseType="variant">
      <vt:variant>
        <vt:i4>3997786</vt:i4>
      </vt:variant>
      <vt:variant>
        <vt:i4>-1</vt:i4>
      </vt:variant>
      <vt:variant>
        <vt:i4>2049</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2011-03-22T13:07:00Z</cp:lastPrinted>
  <dcterms:created xsi:type="dcterms:W3CDTF">2011-07-21T15:49:00Z</dcterms:created>
  <dcterms:modified xsi:type="dcterms:W3CDTF">2012-06-06T12:54:00Z</dcterms:modified>
</cp:coreProperties>
</file>