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0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3745"/>
        <w:gridCol w:w="1281"/>
        <w:gridCol w:w="8905"/>
        <w:gridCol w:w="1378"/>
      </w:tblGrid>
      <w:tr w:rsidR="00644B15" w:rsidRPr="006925C7">
        <w:trPr>
          <w:trHeight w:val="170"/>
        </w:trPr>
        <w:tc>
          <w:tcPr>
            <w:tcW w:w="2368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437FBD" w:rsidRPr="006925C7" w:rsidRDefault="00437FBD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Kenmerk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-</w:t>
            </w:r>
          </w:p>
        </w:tc>
        <w:tc>
          <w:tcPr>
            <w:tcW w:w="5630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Medewerker fastservice ii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aps/>
                <w:color w:val="FFFFFF"/>
                <w:sz w:val="18"/>
              </w:rPr>
            </w:pPr>
            <w:r w:rsidRPr="006925C7">
              <w:rPr>
                <w:b/>
                <w:caps/>
                <w:color w:val="FFFFFF"/>
                <w:sz w:val="18"/>
              </w:rPr>
              <w:t>+</w:t>
            </w: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Breedte inzetbaarheid</w:t>
            </w:r>
          </w:p>
          <w:p w:rsidR="00644B15" w:rsidRPr="00521AEC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</w:p>
        </w:tc>
        <w:tc>
          <w:tcPr>
            <w:tcW w:w="810" w:type="dxa"/>
            <w:vMerge w:val="restart"/>
            <w:textDirection w:val="btLr"/>
            <w:vAlign w:val="center"/>
          </w:tcPr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>Zie functieomschrijving en NOK-bijlage keukenhulp</w:t>
            </w: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B6617B" w:rsidRPr="00B70BAB" w:rsidRDefault="00B6617B" w:rsidP="00B6617B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‘voorbereidende en productiewerkzaamheden’ die geen direct contact met de gast vergen, anders dan het overhandigen van bestelde producten/gerechten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A</w:t>
            </w:r>
            <w:r w:rsidRPr="00B70BAB">
              <w:rPr>
                <w:sz w:val="16"/>
              </w:rPr>
              <w:t>lle voorkomende werkzaamheden aan de counter en kassa, kern van de werkzaamheden zit in het opnemen van bestellingen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 w:val="restart"/>
            <w:tcMar>
              <w:top w:w="28" w:type="dxa"/>
              <w:bottom w:w="28" w:type="dxa"/>
            </w:tcMar>
            <w:textDirection w:val="btLr"/>
            <w:vAlign w:val="center"/>
          </w:tcPr>
          <w:p w:rsidR="00644B15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Zie functieomschrijving en NOK-bijlage </w:t>
            </w:r>
          </w:p>
          <w:p w:rsidR="00644B15" w:rsidRPr="004C3EC4" w:rsidRDefault="00644B15" w:rsidP="00644B15">
            <w:pPr>
              <w:spacing w:line="160" w:lineRule="atLeast"/>
              <w:ind w:left="57" w:right="113"/>
              <w:jc w:val="center"/>
              <w:rPr>
                <w:sz w:val="16"/>
              </w:rPr>
            </w:pPr>
            <w:r w:rsidRPr="004C3EC4">
              <w:rPr>
                <w:sz w:val="16"/>
              </w:rPr>
              <w:t xml:space="preserve">allround medewerker </w:t>
            </w:r>
            <w:proofErr w:type="spellStart"/>
            <w:r w:rsidRPr="004C3EC4">
              <w:rPr>
                <w:sz w:val="16"/>
              </w:rPr>
              <w:t>fastservice</w:t>
            </w:r>
            <w:proofErr w:type="spellEnd"/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Aard gastcontact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 w:rsidRPr="00B70BAB">
              <w:rPr>
                <w:sz w:val="16"/>
              </w:rPr>
              <w:t>-</w:t>
            </w:r>
            <w:r w:rsidRPr="00B70BAB">
              <w:rPr>
                <w:sz w:val="16"/>
              </w:rPr>
              <w:tab/>
            </w:r>
            <w:r>
              <w:rPr>
                <w:sz w:val="16"/>
              </w:rPr>
              <w:t>G</w:t>
            </w:r>
            <w:r w:rsidRPr="00B70BAB">
              <w:rPr>
                <w:sz w:val="16"/>
              </w:rPr>
              <w:t>ericht op het uitstralen van de formulegedachte bij het opnemen/afrekenen van bestellingen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Kl</w:t>
            </w:r>
            <w:r w:rsidRPr="00B70BAB">
              <w:rPr>
                <w:sz w:val="16"/>
              </w:rPr>
              <w:t>achten van gasten die niet evident en/of direct oplosbaar zijn worden opgeschaald naar de allround medewerker of chef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  <w:shd w:val="clear" w:color="auto" w:fill="auto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 w:rsidRPr="00521AEC">
              <w:rPr>
                <w:b/>
                <w:i/>
                <w:color w:val="B80526"/>
                <w:sz w:val="16"/>
              </w:rPr>
              <w:t>Specifieke kennis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284" w:hanging="284"/>
              <w:rPr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ent de eigenschappen van de tot het assortiment behorende producten/</w:t>
            </w:r>
            <w:r>
              <w:rPr>
                <w:sz w:val="16"/>
              </w:rPr>
              <w:t xml:space="preserve"> </w:t>
            </w:r>
            <w:r w:rsidRPr="00B70BAB">
              <w:rPr>
                <w:sz w:val="16"/>
              </w:rPr>
              <w:t>gerechten in het algemeen en de aanbiedingen in het bijzonder</w:t>
            </w:r>
            <w:r>
              <w:rPr>
                <w:sz w:val="16"/>
              </w:rPr>
              <w:t>.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K</w:t>
            </w:r>
            <w:r w:rsidRPr="00B70BAB">
              <w:rPr>
                <w:sz w:val="16"/>
              </w:rPr>
              <w:t>ent de procedures rondom het opmaken van de kassa en afstorten van gelden</w:t>
            </w:r>
            <w:r>
              <w:rPr>
                <w:sz w:val="16"/>
              </w:rPr>
              <w:t>.</w:t>
            </w:r>
          </w:p>
          <w:p w:rsidR="00644B15" w:rsidRPr="00597433" w:rsidRDefault="00644B15" w:rsidP="00644B15">
            <w:pPr>
              <w:spacing w:line="160" w:lineRule="atLeast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i/>
                <w:sz w:val="16"/>
              </w:rPr>
            </w:pPr>
          </w:p>
        </w:tc>
      </w:tr>
      <w:tr w:rsidR="00644B15" w:rsidRPr="004C3EC4">
        <w:tc>
          <w:tcPr>
            <w:tcW w:w="2368" w:type="dxa"/>
          </w:tcPr>
          <w:p w:rsidR="00644B15" w:rsidRPr="0036769F" w:rsidRDefault="00644B15" w:rsidP="00644B15">
            <w:pPr>
              <w:spacing w:line="160" w:lineRule="atLeast"/>
              <w:rPr>
                <w:b/>
                <w:i/>
                <w:color w:val="B80526"/>
                <w:sz w:val="16"/>
              </w:rPr>
            </w:pPr>
            <w:r>
              <w:rPr>
                <w:b/>
                <w:i/>
                <w:color w:val="B80526"/>
                <w:sz w:val="16"/>
              </w:rPr>
              <w:t xml:space="preserve">Referentiefunctie </w:t>
            </w:r>
            <w:r>
              <w:rPr>
                <w:b/>
                <w:i/>
                <w:color w:val="B80526"/>
                <w:sz w:val="16"/>
              </w:rPr>
              <w:br/>
              <w:t>handboek 2002</w:t>
            </w:r>
          </w:p>
        </w:tc>
        <w:tc>
          <w:tcPr>
            <w:tcW w:w="810" w:type="dxa"/>
            <w:vMerge/>
          </w:tcPr>
          <w:p w:rsidR="00644B15" w:rsidRPr="004C3EC4" w:rsidRDefault="00644B15" w:rsidP="00644B15">
            <w:pPr>
              <w:spacing w:line="160" w:lineRule="atLeast"/>
              <w:ind w:left="176" w:hanging="176"/>
              <w:rPr>
                <w:i/>
                <w:sz w:val="16"/>
              </w:rPr>
            </w:pPr>
          </w:p>
        </w:tc>
        <w:tc>
          <w:tcPr>
            <w:tcW w:w="5630" w:type="dxa"/>
            <w:shd w:val="clear" w:color="auto" w:fill="D9D9D9"/>
            <w:tcMar>
              <w:top w:w="28" w:type="dxa"/>
              <w:bottom w:w="28" w:type="dxa"/>
            </w:tcMar>
          </w:tcPr>
          <w:p w:rsidR="00644B15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cafetaria/counter (B.3.3)</w:t>
            </w:r>
          </w:p>
          <w:p w:rsidR="00644B15" w:rsidRPr="00B70BAB" w:rsidRDefault="00644B15" w:rsidP="00644B15">
            <w:pPr>
              <w:spacing w:line="160" w:lineRule="atLeast"/>
              <w:ind w:left="187" w:hanging="187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Medewerker fastfoodrestaurant  (K.3.2)</w:t>
            </w:r>
          </w:p>
          <w:p w:rsidR="00644B15" w:rsidRPr="00597433" w:rsidRDefault="00644B15" w:rsidP="00644B15">
            <w:pPr>
              <w:spacing w:line="160" w:lineRule="atLeast"/>
              <w:ind w:left="176" w:hanging="176"/>
              <w:rPr>
                <w:sz w:val="16"/>
              </w:rPr>
            </w:pPr>
            <w:r w:rsidRPr="00597433">
              <w:rPr>
                <w:sz w:val="16"/>
              </w:rPr>
              <w:t xml:space="preserve"> </w:t>
            </w:r>
          </w:p>
        </w:tc>
        <w:tc>
          <w:tcPr>
            <w:tcW w:w="871" w:type="dxa"/>
            <w:vMerge/>
            <w:shd w:val="clear" w:color="auto" w:fill="auto"/>
            <w:tcMar>
              <w:top w:w="28" w:type="dxa"/>
              <w:bottom w:w="28" w:type="dxa"/>
            </w:tcMar>
          </w:tcPr>
          <w:p w:rsidR="00644B15" w:rsidRPr="004C3EC4" w:rsidRDefault="00644B15" w:rsidP="00644B15">
            <w:pPr>
              <w:spacing w:line="240" w:lineRule="auto"/>
              <w:rPr>
                <w:sz w:val="16"/>
              </w:rPr>
            </w:pPr>
          </w:p>
        </w:tc>
      </w:tr>
      <w:tr w:rsidR="00644B15" w:rsidRPr="006925C7">
        <w:trPr>
          <w:trHeight w:val="170"/>
        </w:trPr>
        <w:tc>
          <w:tcPr>
            <w:tcW w:w="2368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Functiegroep</w:t>
            </w:r>
          </w:p>
        </w:tc>
        <w:tc>
          <w:tcPr>
            <w:tcW w:w="81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1</w:t>
            </w:r>
          </w:p>
        </w:tc>
        <w:tc>
          <w:tcPr>
            <w:tcW w:w="5630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3 (referentie)</w:t>
            </w:r>
          </w:p>
        </w:tc>
        <w:tc>
          <w:tcPr>
            <w:tcW w:w="871" w:type="dxa"/>
            <w:shd w:val="clear" w:color="auto" w:fill="B80526"/>
            <w:tcMar>
              <w:top w:w="28" w:type="dxa"/>
              <w:bottom w:w="28" w:type="dxa"/>
            </w:tcMar>
          </w:tcPr>
          <w:p w:rsidR="00644B15" w:rsidRPr="006925C7" w:rsidRDefault="00644B15" w:rsidP="00644B15">
            <w:pPr>
              <w:jc w:val="center"/>
              <w:rPr>
                <w:b/>
                <w:color w:val="FFFFFF"/>
                <w:sz w:val="18"/>
              </w:rPr>
            </w:pPr>
            <w:r w:rsidRPr="006925C7">
              <w:rPr>
                <w:b/>
                <w:color w:val="FFFFFF"/>
                <w:sz w:val="18"/>
              </w:rPr>
              <w:t>4</w:t>
            </w:r>
          </w:p>
        </w:tc>
      </w:tr>
    </w:tbl>
    <w:p w:rsidR="00644B15" w:rsidRPr="00713988" w:rsidRDefault="00644B15" w:rsidP="00644B15">
      <w:pPr>
        <w:ind w:left="-567"/>
        <w:jc w:val="center"/>
        <w:rPr>
          <w:i/>
          <w:sz w:val="16"/>
        </w:rPr>
      </w:pPr>
      <w:r w:rsidRPr="00713988">
        <w:rPr>
          <w:i/>
          <w:sz w:val="16"/>
        </w:rPr>
        <w:t>NB. Functiehouder moet in staat zijn alle aspecten van voorgaande functie te beheersen.</w:t>
      </w:r>
    </w:p>
    <w:sectPr w:rsidR="00644B15" w:rsidRPr="00713988" w:rsidSect="00644B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418" w:right="851" w:bottom="964" w:left="851" w:header="1134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BD" w:rsidRDefault="00437FBD" w:rsidP="001073D2">
      <w:pPr>
        <w:spacing w:line="240" w:lineRule="auto"/>
      </w:pPr>
      <w:r>
        <w:separator/>
      </w:r>
    </w:p>
  </w:endnote>
  <w:endnote w:type="continuationSeparator" w:id="0">
    <w:p w:rsidR="00437FBD" w:rsidRDefault="00437FBD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3C" w:rsidRDefault="00E95A3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E95A3C" w:rsidRDefault="00644B15" w:rsidP="00E95A3C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3C" w:rsidRDefault="00E95A3C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BD" w:rsidRDefault="00437FBD" w:rsidP="001073D2">
      <w:pPr>
        <w:spacing w:line="240" w:lineRule="auto"/>
      </w:pPr>
      <w:r>
        <w:separator/>
      </w:r>
    </w:p>
  </w:footnote>
  <w:footnote w:type="continuationSeparator" w:id="0">
    <w:p w:rsidR="00437FBD" w:rsidRDefault="00437FBD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3C" w:rsidRDefault="00E95A3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4B15" w:rsidRPr="00E95A3C" w:rsidRDefault="00644B15" w:rsidP="00644B15">
    <w:pPr>
      <w:pStyle w:val="Koptekst"/>
      <w:tabs>
        <w:tab w:val="clear" w:pos="4153"/>
        <w:tab w:val="clear" w:pos="8306"/>
        <w:tab w:val="right" w:pos="15026"/>
      </w:tabs>
      <w:spacing w:line="200" w:lineRule="atLeast"/>
      <w:ind w:right="110"/>
      <w:jc w:val="left"/>
      <w:rPr>
        <w:color w:val="404040"/>
        <w:lang w:eastAsia="nl-NL"/>
      </w:rPr>
    </w:pPr>
    <w:r w:rsidRPr="00BD520D">
      <w:rPr>
        <w:color w:val="404040"/>
      </w:rPr>
      <w:t>Niveau onderscheidende kenmerken</w:t>
    </w:r>
    <w:r w:rsidRPr="00BD520D">
      <w:rPr>
        <w:caps/>
        <w:color w:val="404040"/>
      </w:rPr>
      <w:t xml:space="preserve"> (nok) – </w:t>
    </w:r>
    <w:r>
      <w:rPr>
        <w:color w:val="404040"/>
      </w:rPr>
      <w:t xml:space="preserve">Medewerker </w:t>
    </w:r>
    <w:proofErr w:type="spellStart"/>
    <w:r>
      <w:rPr>
        <w:color w:val="404040"/>
      </w:rPr>
      <w:t>fastservice</w:t>
    </w:r>
    <w:proofErr w:type="spellEnd"/>
    <w:r w:rsidRPr="00BD520D">
      <w:rPr>
        <w:caps/>
        <w:color w:val="404040"/>
      </w:rPr>
      <w:tab/>
    </w:r>
    <w:r>
      <w:rPr>
        <w:color w:val="404040"/>
      </w:rPr>
      <w:t>Functienummer:  K.3.II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A3C" w:rsidRDefault="00E95A3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34CA"/>
    <w:multiLevelType w:val="hybridMultilevel"/>
    <w:tmpl w:val="15EE9AAC"/>
    <w:lvl w:ilvl="0" w:tplc="1F24438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2802FF"/>
    <w:multiLevelType w:val="hybridMultilevel"/>
    <w:tmpl w:val="7660B14E"/>
    <w:lvl w:ilvl="0" w:tplc="2724C94C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456B6701"/>
    <w:multiLevelType w:val="hybridMultilevel"/>
    <w:tmpl w:val="D05A8334"/>
    <w:lvl w:ilvl="0" w:tplc="C36EED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815332"/>
    <w:multiLevelType w:val="hybridMultilevel"/>
    <w:tmpl w:val="B396020C"/>
    <w:lvl w:ilvl="0" w:tplc="2724C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62E8D"/>
    <w:rsid w:val="00437FBD"/>
    <w:rsid w:val="00644B15"/>
    <w:rsid w:val="00B6617B"/>
    <w:rsid w:val="00C72DE8"/>
    <w:rsid w:val="00D62E8D"/>
    <w:rsid w:val="00E95A3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B833C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3602F1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FUNCTIENIVEAUMATRIX FUNCTIEFAMILIE “KEUKEN”: NIVEAU ONDERSCHEIDENDE KENMERKEN (NOK)</vt:lpstr>
      <vt:lpstr>FUNCTIENIVEAUMATRIX FUNCTIEFAMILIE “KEUKEN”: NIVEAU ONDERSCHEIDENDE KENMERKEN (NOK)</vt:lpstr>
    </vt:vector>
  </TitlesOfParts>
  <Company>EVZ Organisatie-adviseurs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FUNCTIENIVEAUMATRIX FUNCTIEFAMILIE “KEUKEN”: NIVEAU ONDERSCHEIDENDE KENMERKEN (NOK)</dc:title>
  <dc:subject/>
  <dc:creator>EVZ02</dc:creator>
  <cp:keywords/>
  <cp:lastModifiedBy>Wendy Terlouw</cp:lastModifiedBy>
  <cp:revision>3</cp:revision>
  <cp:lastPrinted>2011-03-22T14:37:00Z</cp:lastPrinted>
  <dcterms:created xsi:type="dcterms:W3CDTF">2011-07-21T15:49:00Z</dcterms:created>
  <dcterms:modified xsi:type="dcterms:W3CDTF">2012-06-06T12:55:00Z</dcterms:modified>
</cp:coreProperties>
</file>