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14"/>
        <w:gridCol w:w="4914"/>
        <w:gridCol w:w="4914"/>
      </w:tblGrid>
      <w:tr w:rsidR="000825EF" w:rsidRPr="00B67509">
        <w:trPr>
          <w:trHeight w:val="284"/>
        </w:trPr>
        <w:tc>
          <w:tcPr>
            <w:tcW w:w="4914" w:type="dxa"/>
            <w:tcBorders>
              <w:bottom w:val="single" w:sz="4" w:space="0" w:color="auto"/>
            </w:tcBorders>
            <w:shd w:val="clear" w:color="auto" w:fill="B80526"/>
            <w:tcMar>
              <w:top w:w="28" w:type="dxa"/>
              <w:bottom w:w="28" w:type="dxa"/>
            </w:tcMar>
            <w:vAlign w:val="center"/>
          </w:tcPr>
          <w:p w:rsidR="008A2FFA" w:rsidRPr="00B67509" w:rsidRDefault="00425F34" w:rsidP="000825EF">
            <w:pPr>
              <w:spacing w:line="220" w:lineRule="atLeast"/>
              <w:jc w:val="center"/>
              <w:rPr>
                <w:b/>
                <w:color w:val="FFFFFF"/>
                <w:sz w:val="18"/>
              </w:rPr>
            </w:pPr>
            <w:r>
              <w:rPr>
                <w:b/>
                <w:color w:val="FFFFFF"/>
                <w:sz w:val="18"/>
              </w:rPr>
              <w:t xml:space="preserve">-  </w:t>
            </w:r>
            <w:r w:rsidRPr="00B67509">
              <w:rPr>
                <w:b/>
                <w:color w:val="FFFFFF"/>
                <w:sz w:val="18"/>
              </w:rPr>
              <w:t>VARIANT</w:t>
            </w:r>
          </w:p>
        </w:tc>
        <w:tc>
          <w:tcPr>
            <w:tcW w:w="4914" w:type="dxa"/>
            <w:shd w:val="clear" w:color="auto" w:fill="B80526"/>
            <w:tcMar>
              <w:top w:w="28" w:type="dxa"/>
              <w:bottom w:w="28" w:type="dxa"/>
            </w:tcMar>
            <w:vAlign w:val="center"/>
          </w:tcPr>
          <w:p w:rsidR="000825EF" w:rsidRPr="00A9384C" w:rsidRDefault="000825EF" w:rsidP="000825EF">
            <w:pPr>
              <w:spacing w:line="220" w:lineRule="atLeast"/>
              <w:jc w:val="center"/>
              <w:rPr>
                <w:b/>
                <w:caps/>
                <w:color w:val="FFFFFF"/>
                <w:sz w:val="18"/>
              </w:rPr>
            </w:pPr>
            <w:r>
              <w:rPr>
                <w:b/>
                <w:caps/>
                <w:color w:val="FFFFFF"/>
                <w:sz w:val="18"/>
              </w:rPr>
              <w:t>medewerker crediteurenadministratie</w:t>
            </w:r>
          </w:p>
        </w:tc>
        <w:tc>
          <w:tcPr>
            <w:tcW w:w="4914" w:type="dxa"/>
            <w:shd w:val="clear" w:color="auto" w:fill="B80526"/>
            <w:tcMar>
              <w:top w:w="28" w:type="dxa"/>
              <w:bottom w:w="28" w:type="dxa"/>
            </w:tcMar>
            <w:vAlign w:val="center"/>
          </w:tcPr>
          <w:p w:rsidR="000825EF" w:rsidRPr="00B67509" w:rsidRDefault="000825EF" w:rsidP="000825EF">
            <w:pPr>
              <w:spacing w:line="220" w:lineRule="atLeast"/>
              <w:jc w:val="center"/>
              <w:rPr>
                <w:b/>
                <w:color w:val="FFFFFF"/>
                <w:sz w:val="18"/>
              </w:rPr>
            </w:pPr>
            <w:r w:rsidRPr="00B67509">
              <w:rPr>
                <w:b/>
                <w:color w:val="FFFFFF"/>
                <w:sz w:val="18"/>
              </w:rPr>
              <w:t>+  VARIANT</w:t>
            </w:r>
          </w:p>
        </w:tc>
      </w:tr>
      <w:tr w:rsidR="000825EF" w:rsidRPr="00B67509">
        <w:trPr>
          <w:trHeight w:val="2286"/>
        </w:trPr>
        <w:tc>
          <w:tcPr>
            <w:tcW w:w="4914" w:type="dxa"/>
            <w:vMerge w:val="restart"/>
            <w:tcBorders>
              <w:top w:val="single" w:sz="4" w:space="0" w:color="auto"/>
            </w:tcBorders>
            <w:tcMar>
              <w:top w:w="113" w:type="dxa"/>
              <w:bottom w:w="113" w:type="dxa"/>
            </w:tcMar>
          </w:tcPr>
          <w:p w:rsidR="000825EF" w:rsidRPr="00B67509" w:rsidRDefault="000825EF" w:rsidP="000825EF">
            <w:pPr>
              <w:spacing w:line="200" w:lineRule="atLeast"/>
              <w:rPr>
                <w:sz w:val="16"/>
              </w:rPr>
            </w:pPr>
            <w:r w:rsidRPr="00B67509">
              <w:rPr>
                <w:sz w:val="16"/>
              </w:rPr>
              <w:t>De bedrijfsfunctie heeft minder verantwoordelijkheden, doordat er sprake is van:</w:t>
            </w:r>
          </w:p>
          <w:p w:rsidR="000825EF" w:rsidRPr="00B67509" w:rsidRDefault="000825EF" w:rsidP="000825EF">
            <w:pPr>
              <w:spacing w:line="200" w:lineRule="atLeast"/>
              <w:ind w:left="284" w:hanging="284"/>
              <w:rPr>
                <w:sz w:val="16"/>
              </w:rPr>
            </w:pPr>
            <w:r>
              <w:rPr>
                <w:sz w:val="16"/>
              </w:rPr>
              <w:t>-</w:t>
            </w:r>
            <w:r>
              <w:rPr>
                <w:sz w:val="16"/>
              </w:rPr>
              <w:tab/>
              <w:t>een i</w:t>
            </w:r>
            <w:r w:rsidRPr="00B67509">
              <w:rPr>
                <w:sz w:val="16"/>
              </w:rPr>
              <w:t>nkomende factuurcontrole die beperkt is tot het vergelijken van de bedragen, ontvangen (aantallen) goederen</w:t>
            </w:r>
            <w:r>
              <w:rPr>
                <w:sz w:val="16"/>
              </w:rPr>
              <w:t xml:space="preserve"> en gegevens van de leverancier;</w:t>
            </w:r>
          </w:p>
          <w:p w:rsidR="000825EF" w:rsidRPr="00B67509" w:rsidRDefault="000825EF" w:rsidP="000825EF">
            <w:pPr>
              <w:spacing w:line="200" w:lineRule="atLeast"/>
              <w:ind w:left="284" w:hanging="284"/>
              <w:rPr>
                <w:sz w:val="16"/>
              </w:rPr>
            </w:pPr>
            <w:r w:rsidRPr="00B67509">
              <w:rPr>
                <w:sz w:val="16"/>
              </w:rPr>
              <w:t>-</w:t>
            </w:r>
            <w:r>
              <w:rPr>
                <w:sz w:val="16"/>
              </w:rPr>
              <w:tab/>
              <w:t>d</w:t>
            </w:r>
            <w:r w:rsidRPr="00B67509">
              <w:rPr>
                <w:sz w:val="16"/>
              </w:rPr>
              <w:t>e controle op aansluiting met de bestelling en de afwikkeling van afwijkingen (bedragen/levering)</w:t>
            </w:r>
            <w:r>
              <w:rPr>
                <w:sz w:val="16"/>
              </w:rPr>
              <w:t>,</w:t>
            </w:r>
            <w:r w:rsidRPr="00B67509">
              <w:rPr>
                <w:sz w:val="16"/>
              </w:rPr>
              <w:t xml:space="preserve"> alsmede </w:t>
            </w:r>
            <w:r>
              <w:rPr>
                <w:sz w:val="16"/>
              </w:rPr>
              <w:t xml:space="preserve">de </w:t>
            </w:r>
            <w:r w:rsidRPr="00B67509">
              <w:rPr>
                <w:sz w:val="16"/>
              </w:rPr>
              <w:t xml:space="preserve">fiattering </w:t>
            </w:r>
            <w:r>
              <w:rPr>
                <w:sz w:val="16"/>
              </w:rPr>
              <w:t xml:space="preserve">van de </w:t>
            </w:r>
            <w:r w:rsidRPr="00B67509">
              <w:rPr>
                <w:sz w:val="16"/>
              </w:rPr>
              <w:t xml:space="preserve">factuur plaats vindt </w:t>
            </w:r>
            <w:r>
              <w:rPr>
                <w:sz w:val="16"/>
              </w:rPr>
              <w:t>door de betreffende afdeling;</w:t>
            </w:r>
          </w:p>
          <w:p w:rsidR="000825EF" w:rsidRPr="00B67509" w:rsidRDefault="000825EF" w:rsidP="000825EF">
            <w:pPr>
              <w:spacing w:line="200" w:lineRule="atLeast"/>
              <w:ind w:left="284" w:hanging="284"/>
              <w:rPr>
                <w:sz w:val="16"/>
              </w:rPr>
            </w:pPr>
            <w:r w:rsidRPr="00B67509">
              <w:rPr>
                <w:sz w:val="16"/>
              </w:rPr>
              <w:t>-</w:t>
            </w:r>
            <w:r w:rsidRPr="00B67509">
              <w:rPr>
                <w:sz w:val="16"/>
              </w:rPr>
              <w:tab/>
            </w:r>
            <w:r>
              <w:rPr>
                <w:sz w:val="16"/>
              </w:rPr>
              <w:t>het b</w:t>
            </w:r>
            <w:r w:rsidRPr="00B67509">
              <w:rPr>
                <w:sz w:val="16"/>
              </w:rPr>
              <w:t xml:space="preserve">ewaken van vervaldata plaats vindt aan de hand van door </w:t>
            </w:r>
            <w:r>
              <w:rPr>
                <w:sz w:val="16"/>
              </w:rPr>
              <w:t xml:space="preserve">het </w:t>
            </w:r>
            <w:r w:rsidRPr="00B67509">
              <w:rPr>
                <w:sz w:val="16"/>
              </w:rPr>
              <w:t>systeem gegenereerde overzichten, aanmaningen/herinneringen van leveranciers worden afg</w:t>
            </w:r>
            <w:r>
              <w:rPr>
                <w:sz w:val="16"/>
              </w:rPr>
              <w:t>ehandeld door de leidinggevende;</w:t>
            </w:r>
          </w:p>
          <w:p w:rsidR="000825EF" w:rsidRPr="00B67509" w:rsidRDefault="000825EF" w:rsidP="000825EF">
            <w:pPr>
              <w:spacing w:line="200" w:lineRule="atLeast"/>
              <w:ind w:left="284" w:hanging="284"/>
              <w:rPr>
                <w:sz w:val="16"/>
              </w:rPr>
            </w:pPr>
            <w:r w:rsidRPr="00B67509">
              <w:rPr>
                <w:sz w:val="16"/>
              </w:rPr>
              <w:t>-</w:t>
            </w:r>
            <w:r w:rsidRPr="00B67509">
              <w:rPr>
                <w:sz w:val="16"/>
              </w:rPr>
              <w:tab/>
            </w:r>
            <w:r>
              <w:rPr>
                <w:sz w:val="16"/>
              </w:rPr>
              <w:t>een z</w:t>
            </w:r>
            <w:r w:rsidRPr="00B67509">
              <w:rPr>
                <w:sz w:val="16"/>
              </w:rPr>
              <w:t xml:space="preserve">eer eenduidige regelgeving en koppeling naar de financiële administratie (coderen, inboeken e.d.) </w:t>
            </w:r>
            <w:r>
              <w:rPr>
                <w:sz w:val="16"/>
              </w:rPr>
              <w:t xml:space="preserve">die </w:t>
            </w:r>
            <w:r w:rsidRPr="00B67509">
              <w:rPr>
                <w:sz w:val="16"/>
              </w:rPr>
              <w:t xml:space="preserve">niet aan interpretatie onderhevig is, maar eenduidig van de aangereikte gegevens is af te leiden. </w:t>
            </w:r>
          </w:p>
          <w:p w:rsidR="000825EF" w:rsidRPr="00B67509" w:rsidRDefault="000825EF" w:rsidP="000825EF">
            <w:pPr>
              <w:spacing w:line="200" w:lineRule="atLeast"/>
              <w:ind w:left="284" w:hanging="142"/>
              <w:rPr>
                <w:sz w:val="16"/>
              </w:rPr>
            </w:pPr>
          </w:p>
        </w:tc>
        <w:tc>
          <w:tcPr>
            <w:tcW w:w="4914" w:type="dxa"/>
            <w:tcBorders>
              <w:bottom w:val="single" w:sz="4" w:space="0" w:color="auto"/>
            </w:tcBorders>
            <w:shd w:val="clear" w:color="auto" w:fill="D9D9D9"/>
            <w:tcMar>
              <w:top w:w="113" w:type="dxa"/>
              <w:bottom w:w="113" w:type="dxa"/>
            </w:tcMar>
          </w:tcPr>
          <w:p w:rsidR="000825EF" w:rsidRPr="00AC4386" w:rsidRDefault="000825EF" w:rsidP="000825EF">
            <w:pPr>
              <w:spacing w:line="200" w:lineRule="atLeast"/>
              <w:ind w:left="284" w:hanging="284"/>
              <w:jc w:val="center"/>
              <w:rPr>
                <w:sz w:val="16"/>
              </w:rPr>
            </w:pPr>
            <w:r w:rsidRPr="00AC4386">
              <w:rPr>
                <w:sz w:val="16"/>
              </w:rPr>
              <w:t>Dit niveau is omschreve</w:t>
            </w:r>
            <w:r>
              <w:rPr>
                <w:sz w:val="16"/>
              </w:rPr>
              <w:t>n in de referentiefunctie F.5.I</w:t>
            </w:r>
          </w:p>
          <w:p w:rsidR="000825EF" w:rsidRPr="00AC4386" w:rsidRDefault="000825EF" w:rsidP="000825EF">
            <w:pPr>
              <w:spacing w:line="200" w:lineRule="atLeast"/>
              <w:ind w:left="284" w:hanging="284"/>
              <w:jc w:val="center"/>
              <w:rPr>
                <w:sz w:val="16"/>
              </w:rPr>
            </w:pPr>
          </w:p>
          <w:p w:rsidR="000825EF" w:rsidRPr="00AC4386" w:rsidRDefault="000825EF" w:rsidP="000825EF">
            <w:pPr>
              <w:spacing w:line="200" w:lineRule="atLeast"/>
              <w:ind w:left="284" w:hanging="284"/>
              <w:jc w:val="center"/>
              <w:rPr>
                <w:sz w:val="16"/>
              </w:rPr>
            </w:pPr>
            <w:r>
              <w:rPr>
                <w:sz w:val="16"/>
              </w:rPr>
              <w:t>MEDEWERKER CREDITEURENADMINISTRATIE</w:t>
            </w:r>
          </w:p>
        </w:tc>
        <w:tc>
          <w:tcPr>
            <w:tcW w:w="4914" w:type="dxa"/>
            <w:vMerge w:val="restart"/>
            <w:tcMar>
              <w:top w:w="113" w:type="dxa"/>
              <w:bottom w:w="113" w:type="dxa"/>
            </w:tcMar>
          </w:tcPr>
          <w:p w:rsidR="000825EF" w:rsidRPr="00B67509" w:rsidRDefault="000825EF" w:rsidP="000825EF">
            <w:pPr>
              <w:spacing w:line="200" w:lineRule="atLeast"/>
              <w:rPr>
                <w:sz w:val="16"/>
              </w:rPr>
            </w:pPr>
            <w:r w:rsidRPr="00B67509">
              <w:rPr>
                <w:sz w:val="16"/>
              </w:rPr>
              <w:t>De bedrijfsfunctie heeft meer verantwoordelijkheden, doordat er sprake is van:</w:t>
            </w:r>
          </w:p>
          <w:p w:rsidR="000825EF" w:rsidRPr="00B67509" w:rsidRDefault="000825EF" w:rsidP="000825EF">
            <w:pPr>
              <w:spacing w:line="200" w:lineRule="atLeast"/>
              <w:ind w:left="288" w:hanging="283"/>
              <w:rPr>
                <w:sz w:val="16"/>
              </w:rPr>
            </w:pPr>
            <w:r w:rsidRPr="00B67509">
              <w:rPr>
                <w:sz w:val="16"/>
              </w:rPr>
              <w:t>-</w:t>
            </w:r>
            <w:r w:rsidRPr="00B67509">
              <w:rPr>
                <w:sz w:val="16"/>
              </w:rPr>
              <w:tab/>
              <w:t xml:space="preserve">een inkomende factuurcontrole waarbij ook controles plaats vinden op correcte hantering van contracten </w:t>
            </w:r>
            <w:r>
              <w:rPr>
                <w:sz w:val="16"/>
              </w:rPr>
              <w:t xml:space="preserve">(bijvoorbeeld kortingsstaffels </w:t>
            </w:r>
            <w:r w:rsidRPr="00B67509">
              <w:rPr>
                <w:sz w:val="16"/>
              </w:rPr>
              <w:t>en voortschrijdende kwantumafspraken)</w:t>
            </w:r>
            <w:r>
              <w:rPr>
                <w:sz w:val="16"/>
              </w:rPr>
              <w:t>;</w:t>
            </w:r>
          </w:p>
          <w:p w:rsidR="000825EF" w:rsidRPr="00B67509" w:rsidRDefault="000825EF" w:rsidP="000825EF">
            <w:pPr>
              <w:spacing w:line="200" w:lineRule="atLeast"/>
              <w:ind w:left="288" w:hanging="283"/>
              <w:rPr>
                <w:sz w:val="16"/>
              </w:rPr>
            </w:pPr>
            <w:r>
              <w:rPr>
                <w:sz w:val="16"/>
              </w:rPr>
              <w:t>-</w:t>
            </w:r>
            <w:r>
              <w:rPr>
                <w:sz w:val="16"/>
              </w:rPr>
              <w:tab/>
              <w:t>e</w:t>
            </w:r>
            <w:r w:rsidRPr="00B67509">
              <w:rPr>
                <w:sz w:val="16"/>
              </w:rPr>
              <w:t>en volledige control</w:t>
            </w:r>
            <w:r>
              <w:rPr>
                <w:sz w:val="16"/>
              </w:rPr>
              <w:t xml:space="preserve">e op aansluiting met geleverde </w:t>
            </w:r>
            <w:r w:rsidRPr="00B67509">
              <w:rPr>
                <w:sz w:val="16"/>
              </w:rPr>
              <w:t>en bestelde aantallen en zelfstandig actie wordt ondernomen richting leverancier bij afwijkingen. Voorleggen facturen ter fiattering is vooral een procedurele aangelegenheid en vindt pa</w:t>
            </w:r>
            <w:r>
              <w:rPr>
                <w:sz w:val="16"/>
              </w:rPr>
              <w:t>s plaats als factuur in overeen</w:t>
            </w:r>
            <w:r w:rsidRPr="00B67509">
              <w:rPr>
                <w:sz w:val="16"/>
              </w:rPr>
              <w:t xml:space="preserve">stemming is met </w:t>
            </w:r>
            <w:r>
              <w:rPr>
                <w:sz w:val="16"/>
              </w:rPr>
              <w:t>de ontvangsten;</w:t>
            </w:r>
          </w:p>
          <w:p w:rsidR="000825EF" w:rsidRPr="00B67509" w:rsidRDefault="000825EF" w:rsidP="000825EF">
            <w:pPr>
              <w:spacing w:line="200" w:lineRule="atLeast"/>
              <w:ind w:left="288" w:hanging="283"/>
              <w:rPr>
                <w:sz w:val="16"/>
              </w:rPr>
            </w:pPr>
            <w:r>
              <w:rPr>
                <w:sz w:val="16"/>
              </w:rPr>
              <w:t>-</w:t>
            </w:r>
            <w:r>
              <w:rPr>
                <w:sz w:val="16"/>
              </w:rPr>
              <w:tab/>
            </w:r>
            <w:r w:rsidRPr="00B67509">
              <w:rPr>
                <w:sz w:val="16"/>
              </w:rPr>
              <w:t>een zeer grote variatie in de termijnen voor de betaalbaar</w:t>
            </w:r>
            <w:r>
              <w:rPr>
                <w:sz w:val="16"/>
              </w:rPr>
              <w:softHyphen/>
            </w:r>
            <w:r w:rsidRPr="00B67509">
              <w:rPr>
                <w:sz w:val="16"/>
              </w:rPr>
              <w:t>stelling en de f</w:t>
            </w:r>
            <w:r>
              <w:rPr>
                <w:sz w:val="16"/>
              </w:rPr>
              <w:t>unctionaris deze óf zelf bepaalt ó</w:t>
            </w:r>
            <w:r w:rsidRPr="00B67509">
              <w:rPr>
                <w:sz w:val="16"/>
              </w:rPr>
              <w:t>f dient af te leiden vanuit contracten/afspraken met leveranciers. Functionaris wordt over het algemeen aangesproken</w:t>
            </w:r>
            <w:r>
              <w:rPr>
                <w:sz w:val="16"/>
              </w:rPr>
              <w:t xml:space="preserve"> op het aantal crediteurendagen;</w:t>
            </w:r>
          </w:p>
          <w:p w:rsidR="000825EF" w:rsidRPr="00B67509" w:rsidRDefault="000825EF" w:rsidP="000825EF">
            <w:pPr>
              <w:spacing w:line="200" w:lineRule="atLeast"/>
              <w:ind w:left="288" w:hanging="283"/>
              <w:rPr>
                <w:sz w:val="16"/>
              </w:rPr>
            </w:pPr>
            <w:r>
              <w:rPr>
                <w:sz w:val="16"/>
              </w:rPr>
              <w:t>-</w:t>
            </w:r>
            <w:r>
              <w:rPr>
                <w:sz w:val="16"/>
              </w:rPr>
              <w:tab/>
              <w:t>d</w:t>
            </w:r>
            <w:r w:rsidRPr="00B67509">
              <w:rPr>
                <w:sz w:val="16"/>
              </w:rPr>
              <w:t xml:space="preserve">e verwerking in de financiële administratie volledig door de medewerker plaats vindt en de medewerker dus inzicht dient te hebben in de opbouw van de </w:t>
            </w:r>
            <w:r>
              <w:rPr>
                <w:sz w:val="16"/>
              </w:rPr>
              <w:t>kostenplaatsen en kostensoorten;</w:t>
            </w:r>
          </w:p>
          <w:p w:rsidR="000825EF" w:rsidRPr="00B67509" w:rsidRDefault="000825EF" w:rsidP="000825EF">
            <w:pPr>
              <w:spacing w:line="200" w:lineRule="atLeast"/>
              <w:ind w:left="288" w:hanging="283"/>
              <w:rPr>
                <w:sz w:val="16"/>
              </w:rPr>
            </w:pPr>
            <w:r>
              <w:rPr>
                <w:sz w:val="16"/>
              </w:rPr>
              <w:t>-</w:t>
            </w:r>
            <w:r>
              <w:rPr>
                <w:sz w:val="16"/>
              </w:rPr>
              <w:tab/>
            </w:r>
            <w:r w:rsidRPr="00B67509">
              <w:rPr>
                <w:sz w:val="16"/>
              </w:rPr>
              <w:t>een adviesrol naar de leidinggevende in de opbouw van de kostensoorten ter verbetering van de managementinformatie en een adviesrol naar inkoop ten aanzien van het inperken van het leveranciersbestand vanuit kostenoogpunt.</w:t>
            </w:r>
          </w:p>
          <w:p w:rsidR="000825EF" w:rsidRPr="00B67509" w:rsidRDefault="000825EF" w:rsidP="000825EF">
            <w:pPr>
              <w:spacing w:line="200" w:lineRule="atLeast"/>
              <w:ind w:left="284" w:hanging="142"/>
              <w:rPr>
                <w:sz w:val="16"/>
              </w:rPr>
            </w:pPr>
          </w:p>
        </w:tc>
      </w:tr>
      <w:tr w:rsidR="000825EF" w:rsidRPr="00B67509">
        <w:trPr>
          <w:trHeight w:val="1420"/>
        </w:trPr>
        <w:tc>
          <w:tcPr>
            <w:tcW w:w="4914" w:type="dxa"/>
            <w:vMerge/>
            <w:tcBorders>
              <w:bottom w:val="single" w:sz="4" w:space="0" w:color="auto"/>
            </w:tcBorders>
            <w:tcMar>
              <w:top w:w="113" w:type="dxa"/>
              <w:bottom w:w="113" w:type="dxa"/>
            </w:tcMar>
          </w:tcPr>
          <w:p w:rsidR="000825EF" w:rsidRPr="00B67509" w:rsidRDefault="000825EF" w:rsidP="000825EF">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0825EF" w:rsidRPr="001A656F" w:rsidRDefault="000825EF" w:rsidP="000825EF">
            <w:pPr>
              <w:spacing w:line="200" w:lineRule="atLeast"/>
              <w:ind w:left="284" w:hanging="284"/>
              <w:rPr>
                <w:color w:val="262626"/>
                <w:sz w:val="16"/>
              </w:rPr>
            </w:pPr>
            <w:r w:rsidRPr="001A656F">
              <w:rPr>
                <w:color w:val="262626"/>
                <w:sz w:val="16"/>
              </w:rPr>
              <w:t>Referentiefunctie handboek 2002:</w:t>
            </w:r>
          </w:p>
          <w:p w:rsidR="000825EF" w:rsidRPr="001A656F" w:rsidRDefault="000825EF" w:rsidP="000825EF">
            <w:pPr>
              <w:spacing w:line="200" w:lineRule="atLeast"/>
              <w:ind w:left="284" w:hanging="284"/>
              <w:rPr>
                <w:sz w:val="16"/>
              </w:rPr>
            </w:pPr>
            <w:r w:rsidRPr="001A656F">
              <w:rPr>
                <w:color w:val="262626"/>
                <w:sz w:val="16"/>
              </w:rPr>
              <w:t>-</w:t>
            </w:r>
            <w:r w:rsidRPr="001A656F">
              <w:rPr>
                <w:color w:val="262626"/>
                <w:sz w:val="16"/>
              </w:rPr>
              <w:tab/>
              <w:t>Medewerker sub-administratie</w:t>
            </w:r>
            <w:r>
              <w:rPr>
                <w:color w:val="262626"/>
                <w:sz w:val="16"/>
              </w:rPr>
              <w:t xml:space="preserve"> (F.5.2)</w:t>
            </w:r>
          </w:p>
        </w:tc>
        <w:tc>
          <w:tcPr>
            <w:tcW w:w="4914" w:type="dxa"/>
            <w:vMerge/>
            <w:tcBorders>
              <w:bottom w:val="single" w:sz="4" w:space="0" w:color="auto"/>
            </w:tcBorders>
            <w:tcMar>
              <w:top w:w="113" w:type="dxa"/>
              <w:bottom w:w="113" w:type="dxa"/>
            </w:tcMar>
          </w:tcPr>
          <w:p w:rsidR="000825EF" w:rsidRPr="00B67509" w:rsidRDefault="000825EF" w:rsidP="000825EF">
            <w:pPr>
              <w:spacing w:line="200" w:lineRule="atLeast"/>
              <w:rPr>
                <w:sz w:val="16"/>
              </w:rPr>
            </w:pPr>
          </w:p>
        </w:tc>
      </w:tr>
      <w:tr w:rsidR="000825EF"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0825EF" w:rsidRPr="00B67509" w:rsidRDefault="000825EF" w:rsidP="000825EF">
            <w:pPr>
              <w:spacing w:line="220" w:lineRule="atLeast"/>
              <w:jc w:val="center"/>
              <w:rPr>
                <w:b/>
                <w:color w:val="FFFFFF"/>
                <w:sz w:val="18"/>
              </w:rPr>
            </w:pPr>
            <w:r>
              <w:rPr>
                <w:b/>
                <w:color w:val="FFFFFF"/>
                <w:sz w:val="18"/>
              </w:rPr>
              <w:t>4</w:t>
            </w:r>
          </w:p>
        </w:tc>
        <w:tc>
          <w:tcPr>
            <w:tcW w:w="4914" w:type="dxa"/>
            <w:shd w:val="clear" w:color="auto" w:fill="B80526"/>
            <w:tcMar>
              <w:top w:w="28" w:type="dxa"/>
              <w:bottom w:w="28" w:type="dxa"/>
            </w:tcMar>
            <w:vAlign w:val="center"/>
          </w:tcPr>
          <w:p w:rsidR="000825EF" w:rsidRPr="00B67509" w:rsidRDefault="000825EF" w:rsidP="000825EF">
            <w:pPr>
              <w:spacing w:line="220" w:lineRule="atLeast"/>
              <w:jc w:val="center"/>
              <w:rPr>
                <w:b/>
                <w:color w:val="FFFFFF"/>
                <w:sz w:val="18"/>
              </w:rPr>
            </w:pPr>
            <w:r>
              <w:rPr>
                <w:b/>
                <w:color w:val="FFFFFF"/>
                <w:sz w:val="18"/>
              </w:rPr>
              <w:t>5 (referentie)</w:t>
            </w:r>
          </w:p>
        </w:tc>
        <w:tc>
          <w:tcPr>
            <w:tcW w:w="4914" w:type="dxa"/>
            <w:shd w:val="clear" w:color="auto" w:fill="B80526"/>
            <w:tcMar>
              <w:top w:w="28" w:type="dxa"/>
              <w:bottom w:w="28" w:type="dxa"/>
            </w:tcMar>
            <w:vAlign w:val="center"/>
          </w:tcPr>
          <w:p w:rsidR="000825EF" w:rsidRPr="00B67509" w:rsidRDefault="000825EF" w:rsidP="000825EF">
            <w:pPr>
              <w:spacing w:line="220" w:lineRule="atLeast"/>
              <w:jc w:val="center"/>
              <w:rPr>
                <w:b/>
                <w:color w:val="FFFFFF"/>
                <w:sz w:val="18"/>
              </w:rPr>
            </w:pPr>
            <w:r>
              <w:rPr>
                <w:b/>
                <w:color w:val="FFFFFF"/>
                <w:sz w:val="18"/>
              </w:rPr>
              <w:t>6</w:t>
            </w:r>
          </w:p>
        </w:tc>
      </w:tr>
    </w:tbl>
    <w:p w:rsidR="000825EF" w:rsidRPr="001073D2" w:rsidRDefault="000825EF" w:rsidP="000825EF">
      <w:pPr>
        <w:spacing w:line="220" w:lineRule="atLeast"/>
      </w:pPr>
    </w:p>
    <w:sectPr w:rsidR="000825EF" w:rsidRPr="001073D2" w:rsidSect="000825EF">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FC" w:rsidRDefault="004400FC" w:rsidP="001073D2">
      <w:pPr>
        <w:spacing w:line="240" w:lineRule="auto"/>
      </w:pPr>
      <w:r>
        <w:separator/>
      </w:r>
    </w:p>
  </w:endnote>
  <w:endnote w:type="continuationSeparator" w:id="0">
    <w:p w:rsidR="004400FC" w:rsidRDefault="004400FC"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59" w:rsidRDefault="0026405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EF" w:rsidRPr="00ED0D2F" w:rsidRDefault="000825EF" w:rsidP="000825EF">
    <w:pPr>
      <w:pStyle w:val="Voettekst"/>
      <w:tabs>
        <w:tab w:val="clear" w:pos="4153"/>
        <w:tab w:val="clear" w:pos="8306"/>
        <w:tab w:val="right" w:pos="15026"/>
      </w:tabs>
      <w:jc w:val="left"/>
      <w:rPr>
        <w:sz w:val="16"/>
      </w:rPr>
    </w:pPr>
    <w:bookmarkStart w:id="0" w:name="_GoBack"/>
    <w:bookmarkEnd w:id="0"/>
    <w:r w:rsidRPr="00ED0D2F">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59" w:rsidRDefault="002640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FC" w:rsidRDefault="004400FC" w:rsidP="001073D2">
      <w:pPr>
        <w:spacing w:line="240" w:lineRule="auto"/>
      </w:pPr>
      <w:r>
        <w:separator/>
      </w:r>
    </w:p>
  </w:footnote>
  <w:footnote w:type="continuationSeparator" w:id="0">
    <w:p w:rsidR="004400FC" w:rsidRDefault="004400FC"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59" w:rsidRDefault="0026405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EF" w:rsidRPr="004B5A50" w:rsidRDefault="00264059" w:rsidP="000825EF">
    <w:pPr>
      <w:pStyle w:val="Koptekst"/>
      <w:tabs>
        <w:tab w:val="clear" w:pos="8306"/>
        <w:tab w:val="right" w:pos="14601"/>
      </w:tabs>
      <w:ind w:right="0"/>
      <w:jc w:val="left"/>
    </w:pPr>
    <w:r>
      <w:rPr>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2pt;margin-top:18.15pt;width:56.15pt;height:37.3pt;z-index:251657728;mso-position-horizontal-relative:page;mso-position-vertical-relative:page">
          <w10:wrap anchorx="page" anchory="page"/>
        </v:shape>
      </w:pict>
    </w:r>
    <w:r w:rsidR="000825EF" w:rsidRPr="004B5A50">
      <w:rPr>
        <w:lang w:eastAsia="nl-NL"/>
      </w:rPr>
      <w:t xml:space="preserve">Indelingshulpmiddel bij meer of minder verantwoordelijkheden dan de referentiefunctie: </w:t>
    </w:r>
    <w:r w:rsidR="000825EF">
      <w:rPr>
        <w:lang w:eastAsia="nl-NL"/>
      </w:rPr>
      <w:t>Medewerker crediteurenadministratie</w:t>
    </w:r>
    <w:r w:rsidR="000825EF" w:rsidRPr="004B5A50">
      <w:rPr>
        <w:caps/>
        <w:lang w:eastAsia="nl-NL"/>
      </w:rPr>
      <w:tab/>
    </w:r>
    <w:r w:rsidR="000825EF" w:rsidRPr="004B5A50">
      <w:rPr>
        <w:lang w:eastAsia="nl-NL"/>
      </w:rPr>
      <w:t>F</w:t>
    </w:r>
    <w:r w:rsidR="000825EF">
      <w:rPr>
        <w:lang w:eastAsia="nl-NL"/>
      </w:rPr>
      <w:t>unctienummer:  F.5.I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59" w:rsidRDefault="002640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92478"/>
    <w:rsid w:val="000825EF"/>
    <w:rsid w:val="00264059"/>
    <w:rsid w:val="00425F34"/>
    <w:rsid w:val="004400FC"/>
    <w:rsid w:val="00627F7F"/>
    <w:rsid w:val="00B83E0F"/>
    <w:rsid w:val="00E9247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rsid w:val="00627F7F"/>
    <w:pPr>
      <w:keepNext/>
      <w:outlineLvl w:val="0"/>
    </w:pPr>
    <w:rPr>
      <w:b/>
      <w:caps/>
      <w:kern w:val="28"/>
    </w:rPr>
  </w:style>
  <w:style w:type="paragraph" w:styleId="Kop2">
    <w:name w:val="heading 2"/>
    <w:basedOn w:val="Standaard"/>
    <w:next w:val="Standaard"/>
    <w:qFormat/>
    <w:rsid w:val="00627F7F"/>
    <w:pPr>
      <w:keepNext/>
      <w:outlineLvl w:val="1"/>
    </w:pPr>
    <w:rPr>
      <w:b/>
    </w:rPr>
  </w:style>
  <w:style w:type="paragraph" w:styleId="Kop3">
    <w:name w:val="heading 3"/>
    <w:basedOn w:val="Standaard"/>
    <w:next w:val="Standaard"/>
    <w:qFormat/>
    <w:rsid w:val="00627F7F"/>
    <w:pPr>
      <w:keepNext/>
      <w:outlineLvl w:val="2"/>
    </w:pPr>
    <w:rPr>
      <w:b/>
      <w:i/>
    </w:rPr>
  </w:style>
  <w:style w:type="paragraph" w:styleId="Kop4">
    <w:name w:val="heading 4"/>
    <w:basedOn w:val="Standaard"/>
    <w:next w:val="Standaard"/>
    <w:qFormat/>
    <w:rsid w:val="00627F7F"/>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rsid w:val="00627F7F"/>
    <w:pPr>
      <w:tabs>
        <w:tab w:val="left" w:pos="3700"/>
        <w:tab w:val="left" w:pos="7080"/>
      </w:tabs>
      <w:ind w:left="284" w:hanging="284"/>
    </w:pPr>
  </w:style>
  <w:style w:type="paragraph" w:customStyle="1" w:styleId="Referentiebrief">
    <w:name w:val="Referentie brief"/>
    <w:basedOn w:val="Standaard"/>
    <w:rsid w:val="00627F7F"/>
    <w:pPr>
      <w:tabs>
        <w:tab w:val="left" w:pos="4253"/>
      </w:tabs>
    </w:pPr>
  </w:style>
  <w:style w:type="paragraph" w:styleId="Datum">
    <w:name w:val="Date"/>
    <w:basedOn w:val="Standaard"/>
    <w:next w:val="Standaard"/>
    <w:rsid w:val="00627F7F"/>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1976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2278</CharactersWithSpaces>
  <SharedDoc>false</SharedDoc>
  <HLinks>
    <vt:vector size="6" baseType="variant">
      <vt:variant>
        <vt:i4>3997786</vt:i4>
      </vt:variant>
      <vt:variant>
        <vt:i4>-1</vt:i4>
      </vt:variant>
      <vt:variant>
        <vt:i4>2049</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2</cp:revision>
  <cp:lastPrinted>2011-05-18T15:21:00Z</cp:lastPrinted>
  <dcterms:created xsi:type="dcterms:W3CDTF">2011-05-24T08:14:00Z</dcterms:created>
  <dcterms:modified xsi:type="dcterms:W3CDTF">2012-06-06T12:40:00Z</dcterms:modified>
</cp:coreProperties>
</file>