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B05D5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60240" w:rsidRPr="006925C7" w:rsidRDefault="00960240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partymanager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8443D1" w:rsidRDefault="00B05D54" w:rsidP="00B05D54">
            <w:pPr>
              <w:jc w:val="center"/>
              <w:rPr>
                <w:b/>
                <w:caps/>
                <w:color w:val="FFFFFF"/>
                <w:sz w:val="18"/>
                <w:u w:val="single"/>
              </w:rPr>
            </w:pPr>
            <w:r>
              <w:rPr>
                <w:b/>
                <w:caps/>
                <w:color w:val="FFFFFF"/>
                <w:sz w:val="18"/>
              </w:rPr>
              <w:t>Partymanager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05D54" w:rsidRPr="004C3EC4" w:rsidRDefault="00B05D54" w:rsidP="00B05D5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 xml:space="preserve">functieomschrijving en NOK-bijlage </w:t>
            </w:r>
            <w:proofErr w:type="spellStart"/>
            <w:r>
              <w:rPr>
                <w:sz w:val="16"/>
              </w:rPr>
              <w:t>Partycoordinator</w:t>
            </w:r>
            <w:proofErr w:type="spellEnd"/>
          </w:p>
        </w:tc>
        <w:tc>
          <w:tcPr>
            <w:tcW w:w="5630" w:type="dxa"/>
          </w:tcPr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Tot ca. 50 medewerkers via tussenchefs waarvan tot 25 medewerkers onder de hiërarchische verantwoordelijkheid van de functiehouder vallen. De overige medewerkers zijn oproepkrachten.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Tot ca. 75 medewerkers via tussenchefs waarvan tot 50 medewerkers onder de hiërarchische verantwoordelijkheid van de functiehouder vallen. De overige medewerkers zijn oproepkrachten.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IHM-bijlage F&amp;B manager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  <w:textDirection w:val="btLr"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Maximaal ca. 500 gasten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Evenement vindt plaats met gebruikmaking van eigen middelen en materialen en ev</w:t>
            </w:r>
            <w:r>
              <w:rPr>
                <w:sz w:val="16"/>
              </w:rPr>
              <w:t>entueel</w:t>
            </w:r>
            <w:r w:rsidRPr="009B7355">
              <w:rPr>
                <w:sz w:val="16"/>
              </w:rPr>
              <w:t xml:space="preserve"> van ingehuurde en te coördineren diensten/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bijdragen van derden (entertainment, audiovisuele voorzieningen, beveiliging)</w:t>
            </w:r>
            <w:r>
              <w:rPr>
                <w:sz w:val="16"/>
              </w:rPr>
              <w:t>.</w:t>
            </w:r>
          </w:p>
          <w:p w:rsidR="00B05D54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Maaltijd- en drankverstrekking vindt plaats in/op diverse uitgiftevormen en –punten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Voorbereiding vindt voornamelijk in eigen beheer plaats wat resulteert in eenduidige communicatielijnen en afspraken.</w:t>
            </w:r>
          </w:p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Maximaal ca. 1.000 gasten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63131F" w:rsidRPr="009B7355">
              <w:rPr>
                <w:sz w:val="16"/>
              </w:rPr>
              <w:t>Evenement vindt plaats met gebruikmaking van eigen middelen en materialen en ev</w:t>
            </w:r>
            <w:r w:rsidR="0063131F">
              <w:rPr>
                <w:sz w:val="16"/>
              </w:rPr>
              <w:t>entueel</w:t>
            </w:r>
            <w:r w:rsidR="0063131F" w:rsidRPr="009B7355">
              <w:rPr>
                <w:sz w:val="16"/>
              </w:rPr>
              <w:t xml:space="preserve"> van ingehuurde en te coördineren diensten/</w:t>
            </w:r>
            <w:r w:rsidR="0063131F">
              <w:rPr>
                <w:sz w:val="16"/>
              </w:rPr>
              <w:t xml:space="preserve"> </w:t>
            </w:r>
            <w:r w:rsidR="0063131F" w:rsidRPr="009B7355">
              <w:rPr>
                <w:sz w:val="16"/>
              </w:rPr>
              <w:t>bijdragen van derden (entertainment, audiovisuele voorzieningen, beveiliging)</w:t>
            </w:r>
            <w:r w:rsidR="0063131F"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63131F" w:rsidRPr="009B7355">
              <w:rPr>
                <w:sz w:val="16"/>
              </w:rPr>
              <w:t>Maaltijd- en drankverstrekking vindt plaats in/op diverse uitgiftevormen en –punten</w:t>
            </w:r>
            <w:r w:rsidR="0063131F">
              <w:rPr>
                <w:sz w:val="16"/>
              </w:rPr>
              <w:t xml:space="preserve"> en </w:t>
            </w:r>
            <w:r>
              <w:rPr>
                <w:sz w:val="16"/>
              </w:rPr>
              <w:t>e</w:t>
            </w:r>
            <w:r w:rsidRPr="009B7355">
              <w:rPr>
                <w:sz w:val="16"/>
              </w:rPr>
              <w:t>r is sprake van een grote diversiteit qua samenstelling en uitgebreidheid</w:t>
            </w:r>
            <w:r w:rsidR="0063131F">
              <w:rPr>
                <w:sz w:val="16"/>
              </w:rPr>
              <w:t>.</w:t>
            </w:r>
            <w:r>
              <w:rPr>
                <w:sz w:val="16"/>
              </w:rPr>
              <w:t>.</w:t>
            </w:r>
          </w:p>
          <w:p w:rsidR="00B05D54" w:rsidRPr="00597433" w:rsidRDefault="00B05D54" w:rsidP="008513CC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Voorbereiding en oplevering vindt voornamelijk door (een groot aantal) derden plaats, wat vraag</w:t>
            </w:r>
            <w:r>
              <w:rPr>
                <w:sz w:val="16"/>
              </w:rPr>
              <w:t>t</w:t>
            </w:r>
            <w:r w:rsidRPr="009B7355">
              <w:rPr>
                <w:sz w:val="16"/>
              </w:rPr>
              <w:t xml:space="preserve"> om duidelijke afstemming met en coördinatie van de verschillende partijen.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afstand tot de direct leidinggevende is aanzienlijk. Functiehouder is op locatie de eindverantwoordelijke en mag last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minute</w:t>
            </w:r>
            <w:r>
              <w:rPr>
                <w:sz w:val="16"/>
              </w:rPr>
              <w:t>-</w:t>
            </w:r>
            <w:r w:rsidRPr="009B7355">
              <w:rPr>
                <w:sz w:val="16"/>
              </w:rPr>
              <w:t>wijzigingen op verzoek</w:t>
            </w:r>
            <w:r>
              <w:rPr>
                <w:sz w:val="16"/>
              </w:rPr>
              <w:t xml:space="preserve"> van de klant doorvoeren met in</w:t>
            </w:r>
            <w:r w:rsidRPr="009B7355">
              <w:rPr>
                <w:sz w:val="16"/>
              </w:rPr>
              <w:t xml:space="preserve">achtneming van de </w:t>
            </w:r>
            <w:proofErr w:type="spellStart"/>
            <w:r w:rsidRPr="009B7355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9B7355">
              <w:rPr>
                <w:sz w:val="16"/>
              </w:rPr>
              <w:t>afspraken</w:t>
            </w:r>
            <w:proofErr w:type="spellEnd"/>
            <w:r w:rsidRPr="009B7355">
              <w:rPr>
                <w:sz w:val="16"/>
              </w:rPr>
              <w:t xml:space="preserve">. </w:t>
            </w:r>
          </w:p>
          <w:p w:rsidR="00B05D54" w:rsidRPr="00597433" w:rsidRDefault="00B05D54" w:rsidP="00B05D54">
            <w:pPr>
              <w:spacing w:line="160" w:lineRule="atLeast"/>
              <w:ind w:left="215" w:hanging="23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597433">
              <w:rPr>
                <w:sz w:val="16"/>
              </w:rPr>
              <w:t xml:space="preserve">nput op basis van globaal draaiboek/partyplan dat door de partymanager moet worden uitgewerkt op basis van de partylocatie, beschikbare middelen en medewerkers. </w:t>
            </w:r>
          </w:p>
          <w:p w:rsidR="00B05D54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partymanager I dient ook zaken die op langere termijn effect hebben op te lossen, voor zover dit binnen de kaders en richtlijnen mogelijk is.</w:t>
            </w:r>
          </w:p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131F" w:rsidRPr="009B7355" w:rsidRDefault="0063131F" w:rsidP="0063131F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afstand tot de direct leidinggevende is aanzienlijk. Functiehouder is op locatie de eindverantwoordelijke en mag last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minute</w:t>
            </w:r>
            <w:r>
              <w:rPr>
                <w:sz w:val="16"/>
              </w:rPr>
              <w:t>-</w:t>
            </w:r>
            <w:r w:rsidRPr="009B7355">
              <w:rPr>
                <w:sz w:val="16"/>
              </w:rPr>
              <w:t>wijzigingen op verzoek</w:t>
            </w:r>
            <w:r>
              <w:rPr>
                <w:sz w:val="16"/>
              </w:rPr>
              <w:t xml:space="preserve"> van de klant doorvoeren met in</w:t>
            </w:r>
            <w:r w:rsidRPr="009B7355">
              <w:rPr>
                <w:sz w:val="16"/>
              </w:rPr>
              <w:t xml:space="preserve">achtneming van de </w:t>
            </w:r>
            <w:proofErr w:type="spellStart"/>
            <w:r w:rsidRPr="009B7355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9B7355">
              <w:rPr>
                <w:sz w:val="16"/>
              </w:rPr>
              <w:t>afspraken</w:t>
            </w:r>
            <w:proofErr w:type="spellEnd"/>
            <w:r w:rsidRPr="009B7355">
              <w:rPr>
                <w:sz w:val="16"/>
              </w:rPr>
              <w:t xml:space="preserve">. </w:t>
            </w:r>
          </w:p>
          <w:p w:rsidR="0063131F" w:rsidRPr="00597433" w:rsidRDefault="0063131F" w:rsidP="0063131F">
            <w:pPr>
              <w:spacing w:line="160" w:lineRule="atLeast"/>
              <w:ind w:left="215" w:hanging="23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597433">
              <w:rPr>
                <w:sz w:val="16"/>
              </w:rPr>
              <w:t xml:space="preserve">nput op basis van globaal draaiboek/partyplan dat door de partymanager moet worden uitgewerkt op basis van de partylocatie, beschikbare middelen en medewerkers. </w:t>
            </w:r>
          </w:p>
          <w:p w:rsidR="00B05D54" w:rsidRPr="00597433" w:rsidRDefault="0063131F" w:rsidP="00E1694F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partymanager I</w:t>
            </w:r>
            <w:r>
              <w:rPr>
                <w:sz w:val="16"/>
              </w:rPr>
              <w:t>I</w:t>
            </w:r>
            <w:r w:rsidRPr="009B7355">
              <w:rPr>
                <w:sz w:val="16"/>
              </w:rPr>
              <w:t xml:space="preserve"> dient ook zaken die op langere termijn effect hebben op te lossen, voor zover dit binnen de kaders en richtlijnen mogelijk is.</w:t>
            </w:r>
            <w:r w:rsidR="00E1694F">
              <w:rPr>
                <w:sz w:val="16"/>
              </w:rPr>
              <w:t xml:space="preserve"> </w:t>
            </w:r>
            <w:r w:rsidR="00B05D54" w:rsidRPr="009B7355">
              <w:rPr>
                <w:sz w:val="16"/>
              </w:rPr>
              <w:t>De partymanager II legt achteraf verantwoording af.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Aansturing medewerkers heeft met name betrekking op zaken als: 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maken van de middellange termijn personeelsplanning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kwaliteitsbevordering (opleiding/training) medewerkers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instroom van medewerkers (werving en selectie)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minimaliseren ziekteverzuim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nadruk ligt op aansturing op afstand via tussenchefs.</w:t>
            </w:r>
          </w:p>
          <w:p w:rsidR="00B05D54" w:rsidRPr="009B7355" w:rsidRDefault="00B05D54" w:rsidP="00B05D54">
            <w:pPr>
              <w:spacing w:line="160" w:lineRule="atLeast"/>
              <w:ind w:left="215"/>
              <w:rPr>
                <w:sz w:val="16"/>
              </w:rPr>
            </w:pPr>
          </w:p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Van de partymanager I wordt een onderbouwd advies verwacht over verbeteringen en veranderingen in de werkmethoden, roosterindelingen, e.d. Hij</w:t>
            </w:r>
            <w:r>
              <w:rPr>
                <w:sz w:val="16"/>
              </w:rPr>
              <w:t>/zij</w:t>
            </w:r>
            <w:r w:rsidRPr="009B7355">
              <w:rPr>
                <w:sz w:val="16"/>
              </w:rPr>
              <w:t xml:space="preserve"> speelt in op reacties van gasten en ervaringen vanuit de praktijk.</w:t>
            </w:r>
          </w:p>
          <w:p w:rsidR="00B05D54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Van hem/haar wordt verwacht dat hij/zij aangeeft hoe verbeteringen bereikt kunnen worden. Implementatie van gehonoreerde verbeteringen stuurt hij</w:t>
            </w:r>
            <w:r>
              <w:rPr>
                <w:sz w:val="16"/>
              </w:rPr>
              <w:t>/zij</w:t>
            </w:r>
            <w:r w:rsidRPr="009B7355">
              <w:rPr>
                <w:sz w:val="16"/>
              </w:rPr>
              <w:t xml:space="preserve"> via de tussenchefs.</w:t>
            </w:r>
          </w:p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877F2" w:rsidRPr="009B7355" w:rsidRDefault="000877F2" w:rsidP="000877F2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Aansturing medewerkers heeft met name betrekking op zaken als: 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maken van de middellange termijn personeelsplanning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kwaliteitsbevordering (opleiding/training) medewerkers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instroom van medewerkers (werving en selectie)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minimaliseren ziekteverzuim</w:t>
            </w:r>
            <w:r>
              <w:rPr>
                <w:sz w:val="16"/>
              </w:rPr>
              <w:t>.</w:t>
            </w:r>
          </w:p>
          <w:p w:rsidR="00B05D54" w:rsidRPr="009B7355" w:rsidRDefault="000877F2" w:rsidP="000877F2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nadruk ligt op aanstu</w:t>
            </w:r>
            <w:r>
              <w:rPr>
                <w:sz w:val="16"/>
              </w:rPr>
              <w:t xml:space="preserve">ring op afstand via tussenchefs, </w:t>
            </w:r>
            <w:r w:rsidR="00B05D54" w:rsidRPr="009B7355">
              <w:rPr>
                <w:sz w:val="16"/>
              </w:rPr>
              <w:t>waarbij door de omvang (grootte evenementen en aantal medewerkers) de afstand en het aantal tussenchefs aanzienlijk is.</w:t>
            </w:r>
          </w:p>
          <w:p w:rsidR="00B05D54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Het gaat niet om een actieve inbreng maar om het realiseren van de verbeteringen. Partymanager II kijkt ten minste 1 jaar vooruit en anticipeert op te verwachten in- en externe ontwikkelingen. </w:t>
            </w:r>
          </w:p>
          <w:p w:rsidR="00B05D54" w:rsidRPr="00597433" w:rsidRDefault="00B05D54" w:rsidP="00FE5FD2">
            <w:pPr>
              <w:spacing w:line="160" w:lineRule="atLeast"/>
              <w:ind w:left="176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0877F2" w:rsidRPr="009B7355">
              <w:rPr>
                <w:sz w:val="16"/>
              </w:rPr>
              <w:t>Van hem/haar wordt verwacht dat hij/zij aangeeft hoe verb</w:t>
            </w:r>
            <w:r w:rsidR="000877F2">
              <w:rPr>
                <w:sz w:val="16"/>
              </w:rPr>
              <w:t>eteringen bereikt kunnen worden en dat hij/zij</w:t>
            </w:r>
            <w:r w:rsidR="000877F2" w:rsidRPr="009B7355">
              <w:rPr>
                <w:sz w:val="16"/>
              </w:rPr>
              <w:t xml:space="preserve"> benodigde </w:t>
            </w:r>
            <w:proofErr w:type="spellStart"/>
            <w:r w:rsidR="000877F2" w:rsidRPr="009B7355">
              <w:rPr>
                <w:sz w:val="16"/>
              </w:rPr>
              <w:t>budgetten</w:t>
            </w:r>
            <w:proofErr w:type="spellEnd"/>
            <w:r w:rsidR="000877F2" w:rsidRPr="009B7355">
              <w:rPr>
                <w:sz w:val="16"/>
              </w:rPr>
              <w:t xml:space="preserve"> met een kosten/</w:t>
            </w:r>
            <w:proofErr w:type="spellStart"/>
            <w:r w:rsidR="000877F2" w:rsidRPr="009B7355">
              <w:rPr>
                <w:sz w:val="16"/>
              </w:rPr>
              <w:t>baten-analyse</w:t>
            </w:r>
            <w:proofErr w:type="spellEnd"/>
            <w:r w:rsidR="000877F2">
              <w:rPr>
                <w:sz w:val="16"/>
              </w:rPr>
              <w:t xml:space="preserve"> aangeeft</w:t>
            </w:r>
            <w:r w:rsidR="000877F2" w:rsidRPr="009B7355">
              <w:rPr>
                <w:sz w:val="16"/>
              </w:rPr>
              <w:t>.</w:t>
            </w:r>
            <w:r w:rsidR="001B00EB">
              <w:rPr>
                <w:sz w:val="16"/>
              </w:rPr>
              <w:t xml:space="preserve"> </w:t>
            </w:r>
            <w:r w:rsidR="000877F2" w:rsidRPr="009B7355">
              <w:rPr>
                <w:sz w:val="16"/>
              </w:rPr>
              <w:t>Implementatie van gehonoreerde verbeteringen stuurt hij</w:t>
            </w:r>
            <w:r w:rsidR="000877F2">
              <w:rPr>
                <w:sz w:val="16"/>
              </w:rPr>
              <w:t>/zij</w:t>
            </w:r>
            <w:r w:rsidR="000877F2" w:rsidRPr="009B7355">
              <w:rPr>
                <w:sz w:val="16"/>
              </w:rPr>
              <w:t xml:space="preserve"> via de tussenchefs.</w:t>
            </w:r>
            <w:r w:rsidR="000877F2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sz w:val="16"/>
              </w:rPr>
            </w:pPr>
          </w:p>
        </w:tc>
      </w:tr>
      <w:tr w:rsidR="00B05D54" w:rsidRPr="004C3EC4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05D54" w:rsidRPr="00524231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  <w:r w:rsidRPr="00524231">
              <w:rPr>
                <w:sz w:val="16"/>
                <w:lang w:val="en-US"/>
              </w:rPr>
              <w:t>-</w:t>
            </w:r>
            <w:r w:rsidRPr="00524231">
              <w:rPr>
                <w:sz w:val="16"/>
                <w:lang w:val="en-US"/>
              </w:rPr>
              <w:tab/>
              <w:t>Partymanager C (P.7.2)</w:t>
            </w:r>
          </w:p>
          <w:p w:rsidR="00B05D54" w:rsidRPr="00524231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  <w:r w:rsidRPr="00524231">
              <w:rPr>
                <w:sz w:val="16"/>
                <w:lang w:val="en-US"/>
              </w:rPr>
              <w:t>-</w:t>
            </w:r>
            <w:r w:rsidRPr="00524231">
              <w:rPr>
                <w:sz w:val="16"/>
                <w:lang w:val="en-US"/>
              </w:rPr>
              <w:tab/>
              <w:t>Banquet manager (P.7.1)</w:t>
            </w:r>
          </w:p>
          <w:p w:rsidR="00B05D54" w:rsidRPr="00524231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D</w:t>
            </w:r>
            <w:r>
              <w:rPr>
                <w:sz w:val="16"/>
              </w:rPr>
              <w:t xml:space="preserve"> (P.8.1)</w:t>
            </w:r>
          </w:p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sz w:val="16"/>
              </w:rPr>
            </w:pPr>
          </w:p>
        </w:tc>
      </w:tr>
      <w:tr w:rsidR="00B05D5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B05D54" w:rsidRPr="00713988" w:rsidRDefault="00B05D54" w:rsidP="00B05D5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B05D54" w:rsidRPr="000872E7" w:rsidRDefault="00B05D54" w:rsidP="00B05D54">
      <w:pPr>
        <w:rPr>
          <w:sz w:val="16"/>
        </w:rPr>
      </w:pPr>
    </w:p>
    <w:p w:rsidR="00B05D54" w:rsidRPr="000872E7" w:rsidRDefault="00B05D54" w:rsidP="00B05D5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B05D54" w:rsidRPr="000872E7" w:rsidSect="00B0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0" w:rsidRDefault="00960240" w:rsidP="001073D2">
      <w:pPr>
        <w:spacing w:line="240" w:lineRule="auto"/>
      </w:pPr>
      <w:r>
        <w:separator/>
      </w:r>
    </w:p>
  </w:endnote>
  <w:endnote w:type="continuationSeparator" w:id="0">
    <w:p w:rsidR="00960240" w:rsidRDefault="0096024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31" w:rsidRDefault="005242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524231" w:rsidRDefault="00B05D54" w:rsidP="0052423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31" w:rsidRDefault="005242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0" w:rsidRDefault="00960240" w:rsidP="001073D2">
      <w:pPr>
        <w:spacing w:line="240" w:lineRule="auto"/>
      </w:pPr>
      <w:r>
        <w:separator/>
      </w:r>
    </w:p>
  </w:footnote>
  <w:footnote w:type="continuationSeparator" w:id="0">
    <w:p w:rsidR="00960240" w:rsidRDefault="0096024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31" w:rsidRDefault="005242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524231" w:rsidRDefault="00B05D54" w:rsidP="00B05D5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Partymanager</w:t>
    </w:r>
    <w:r w:rsidRPr="00BD520D">
      <w:rPr>
        <w:caps/>
        <w:color w:val="404040"/>
      </w:rPr>
      <w:tab/>
    </w:r>
    <w:r>
      <w:rPr>
        <w:color w:val="404040"/>
      </w:rPr>
      <w:t>Functienummer:  P.8.I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31" w:rsidRDefault="005242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E49"/>
    <w:rsid w:val="000877F2"/>
    <w:rsid w:val="001B00EB"/>
    <w:rsid w:val="00524231"/>
    <w:rsid w:val="0063131F"/>
    <w:rsid w:val="008513CC"/>
    <w:rsid w:val="00960240"/>
    <w:rsid w:val="00AF5E49"/>
    <w:rsid w:val="00B05D54"/>
    <w:rsid w:val="00E1694F"/>
    <w:rsid w:val="00FC2D26"/>
    <w:rsid w:val="00FE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2011-03-22T15:45:00Z</cp:lastPrinted>
  <dcterms:created xsi:type="dcterms:W3CDTF">2011-07-21T15:50:00Z</dcterms:created>
  <dcterms:modified xsi:type="dcterms:W3CDTF">2012-06-06T13:17:00Z</dcterms:modified>
</cp:coreProperties>
</file>