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20E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E4DF2" w:rsidRPr="006925C7" w:rsidRDefault="004E4DF2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Barkeeper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Segment</w:t>
            </w:r>
          </w:p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20E09" w:rsidRPr="004C3EC4" w:rsidRDefault="00A20E09" w:rsidP="00A20E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medewerker bediening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Luxe of specialistisch segment, waar een meer exclusieve drankenkaart/coc</w:t>
            </w:r>
            <w:r>
              <w:rPr>
                <w:sz w:val="16"/>
              </w:rPr>
              <w:t>k</w:t>
            </w:r>
            <w:r w:rsidRPr="00597433">
              <w:rPr>
                <w:sz w:val="16"/>
              </w:rPr>
              <w:t>tailkaart gevoerd wordt en hogere verwachtingen gesteld worden aan serviceverlening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Luxe bar</w:t>
            </w:r>
            <w:r>
              <w:rPr>
                <w:sz w:val="16"/>
              </w:rPr>
              <w:t xml:space="preserve"> in een restaurant, hotel, club</w:t>
            </w:r>
            <w:r w:rsidRPr="00597433">
              <w:rPr>
                <w:sz w:val="16"/>
              </w:rPr>
              <w:t>, meeting center of specialiteiten café/bar waarin sfeer en entertainment door de aard van de gasten niet weg te denken zijn in het totaalconcept van het bedrijf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20E09" w:rsidRPr="004C3EC4" w:rsidRDefault="00A20E09" w:rsidP="00A20E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Aard en dynamiek van de werkzaamheden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  <w:t>Gastencontact is vooral gericht op het inspelen op de specifieke behoeften en wensen</w:t>
            </w:r>
            <w:r>
              <w:rPr>
                <w:color w:val="auto"/>
                <w:sz w:val="16"/>
              </w:rPr>
              <w:t>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  <w:t>Breed assortiment omvat groot scala aan standaard dranken waarmee wordt ingespeeld op een brede variatie aan drinkculturen en -patronen van de internationale gasten</w:t>
            </w:r>
            <w:r>
              <w:rPr>
                <w:color w:val="auto"/>
                <w:sz w:val="16"/>
              </w:rPr>
              <w:t>.</w:t>
            </w: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  <w:t>Idem</w:t>
            </w:r>
            <w:r>
              <w:rPr>
                <w:color w:val="auto"/>
                <w:sz w:val="16"/>
              </w:rPr>
              <w:t xml:space="preserve"> barkeeper I.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  <w:t>Hoog technisch vaardigheidsniveau door veelheid aan complexe cocktails en mixen</w:t>
            </w:r>
            <w:r>
              <w:rPr>
                <w:color w:val="auto"/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MBO </w:t>
            </w:r>
            <w:r>
              <w:rPr>
                <w:sz w:val="16"/>
              </w:rPr>
              <w:t xml:space="preserve">niveau 2 - </w:t>
            </w:r>
            <w:r w:rsidRPr="00597433">
              <w:rPr>
                <w:sz w:val="16"/>
              </w:rPr>
              <w:t>3 werk- en denkniveau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Barkeeper</w:t>
            </w:r>
            <w:r>
              <w:rPr>
                <w:sz w:val="16"/>
              </w:rPr>
              <w:t xml:space="preserve"> (B.4.1)</w:t>
            </w:r>
          </w:p>
          <w:p w:rsidR="00A20E09" w:rsidRPr="00597433" w:rsidRDefault="00A20E09" w:rsidP="00A20E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sz w:val="16"/>
              </w:rPr>
            </w:pPr>
          </w:p>
        </w:tc>
      </w:tr>
      <w:tr w:rsidR="00A20E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A20E09" w:rsidRPr="00713988" w:rsidRDefault="00A20E09" w:rsidP="00A20E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20E09" w:rsidRPr="00713988" w:rsidSect="00A2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F2" w:rsidRDefault="004E4DF2" w:rsidP="001073D2">
      <w:pPr>
        <w:spacing w:line="240" w:lineRule="auto"/>
      </w:pPr>
      <w:r>
        <w:separator/>
      </w:r>
    </w:p>
  </w:endnote>
  <w:endnote w:type="continuationSeparator" w:id="0">
    <w:p w:rsidR="004E4DF2" w:rsidRDefault="004E4DF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34" w:rsidRDefault="000B4D3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0B4D34" w:rsidRDefault="00A20E09" w:rsidP="000B4D34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34" w:rsidRDefault="000B4D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F2" w:rsidRDefault="004E4DF2" w:rsidP="001073D2">
      <w:pPr>
        <w:spacing w:line="240" w:lineRule="auto"/>
      </w:pPr>
      <w:r>
        <w:separator/>
      </w:r>
    </w:p>
  </w:footnote>
  <w:footnote w:type="continuationSeparator" w:id="0">
    <w:p w:rsidR="004E4DF2" w:rsidRDefault="004E4DF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34" w:rsidRDefault="000B4D3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0B4D34" w:rsidRDefault="00A20E09" w:rsidP="00A20E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Barkeeper</w:t>
    </w:r>
    <w:r w:rsidRPr="00BD520D">
      <w:rPr>
        <w:caps/>
        <w:color w:val="404040"/>
      </w:rPr>
      <w:tab/>
    </w:r>
    <w:r>
      <w:rPr>
        <w:color w:val="404040"/>
      </w:rPr>
      <w:t>Functienummer:  B.4.I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34" w:rsidRDefault="000B4D3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2596C"/>
    <w:rsid w:val="0002596C"/>
    <w:rsid w:val="000606DA"/>
    <w:rsid w:val="000B4D34"/>
    <w:rsid w:val="004E4DF2"/>
    <w:rsid w:val="00964764"/>
    <w:rsid w:val="00A20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2011-03-21T14:45:00Z</cp:lastPrinted>
  <dcterms:created xsi:type="dcterms:W3CDTF">2011-07-21T15:49:00Z</dcterms:created>
  <dcterms:modified xsi:type="dcterms:W3CDTF">2012-06-06T11:47:00Z</dcterms:modified>
</cp:coreProperties>
</file>