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14"/>
        <w:gridCol w:w="4914"/>
        <w:gridCol w:w="4914"/>
      </w:tblGrid>
      <w:tr w:rsidR="00124906" w:rsidRPr="00B67509">
        <w:trPr>
          <w:trHeight w:val="284"/>
        </w:trPr>
        <w:tc>
          <w:tcPr>
            <w:tcW w:w="4914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8A2FFA" w:rsidRPr="00B67509" w:rsidRDefault="00C14F8E" w:rsidP="00124906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-  </w:t>
            </w:r>
            <w:r w:rsidRPr="00B67509">
              <w:rPr>
                <w:b/>
                <w:color w:val="FFFFFF"/>
                <w:sz w:val="18"/>
              </w:rPr>
              <w:t>VARIANT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124906" w:rsidRPr="00A9384C" w:rsidRDefault="00124906" w:rsidP="00124906">
            <w:pPr>
              <w:spacing w:line="220" w:lineRule="atLeast"/>
              <w:jc w:val="center"/>
              <w:rPr>
                <w:b/>
                <w:caps/>
                <w:color w:val="FFFFFF"/>
                <w:sz w:val="18"/>
              </w:rPr>
            </w:pPr>
            <w:r>
              <w:rPr>
                <w:b/>
                <w:caps/>
                <w:color w:val="FFFFFF"/>
                <w:sz w:val="18"/>
              </w:rPr>
              <w:t>personeelsfunctionaris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124906" w:rsidRPr="00B67509" w:rsidRDefault="00124906" w:rsidP="00124906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 w:rsidRPr="00B67509">
              <w:rPr>
                <w:b/>
                <w:color w:val="FFFFFF"/>
                <w:sz w:val="18"/>
              </w:rPr>
              <w:t>+  VARIANT</w:t>
            </w:r>
          </w:p>
        </w:tc>
      </w:tr>
      <w:tr w:rsidR="00124906" w:rsidRPr="00B67509">
        <w:trPr>
          <w:trHeight w:val="4009"/>
        </w:trPr>
        <w:tc>
          <w:tcPr>
            <w:tcW w:w="4914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124906" w:rsidRPr="00B67509" w:rsidRDefault="00124906" w:rsidP="00124906">
            <w:pPr>
              <w:spacing w:line="200" w:lineRule="atLeast"/>
              <w:rPr>
                <w:sz w:val="16"/>
              </w:rPr>
            </w:pPr>
            <w:r w:rsidRPr="00B67509">
              <w:rPr>
                <w:sz w:val="16"/>
              </w:rPr>
              <w:t>Er is sprake van een lagere in</w:t>
            </w:r>
            <w:r>
              <w:rPr>
                <w:sz w:val="16"/>
              </w:rPr>
              <w:t>schaling als de bedrijfsfunctie</w:t>
            </w:r>
            <w:r w:rsidRPr="00B67509">
              <w:rPr>
                <w:sz w:val="16"/>
              </w:rPr>
              <w:t xml:space="preserve"> minder verantwoordelijkheden</w:t>
            </w:r>
            <w:r>
              <w:rPr>
                <w:sz w:val="16"/>
              </w:rPr>
              <w:t xml:space="preserve"> heeft,</w:t>
            </w:r>
            <w:r w:rsidRPr="00B67509">
              <w:rPr>
                <w:sz w:val="16"/>
              </w:rPr>
              <w:t xml:space="preserve"> doordat er sprake is van een beperkter (primair) aandachtsgebied of een meer operationele en minder vormgevende/beleidsmatige rol en positie. De volgende kenmerken dienen dan overwegend aan de orde te zijn:</w:t>
            </w:r>
          </w:p>
          <w:p w:rsidR="00124906" w:rsidRPr="00B67509" w:rsidRDefault="00124906" w:rsidP="00124906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</w:r>
            <w:r>
              <w:rPr>
                <w:sz w:val="16"/>
              </w:rPr>
              <w:t>g</w:t>
            </w:r>
            <w:r w:rsidRPr="00B67509">
              <w:rPr>
                <w:sz w:val="16"/>
              </w:rPr>
              <w:t>een formele rol/positie in, of actieve deelname aan, het stafoverleg/MT</w:t>
            </w:r>
            <w:r>
              <w:rPr>
                <w:sz w:val="16"/>
              </w:rPr>
              <w:t>;</w:t>
            </w:r>
          </w:p>
          <w:p w:rsidR="00124906" w:rsidRPr="00B67509" w:rsidRDefault="00124906" w:rsidP="00124906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</w:r>
            <w:r>
              <w:rPr>
                <w:sz w:val="16"/>
              </w:rPr>
              <w:t>g</w:t>
            </w:r>
            <w:r w:rsidRPr="00B67509">
              <w:rPr>
                <w:sz w:val="16"/>
              </w:rPr>
              <w:t>ericht op uitvoering in plaats van begeleiding lijnmanagement</w:t>
            </w:r>
            <w:r>
              <w:rPr>
                <w:sz w:val="16"/>
              </w:rPr>
              <w:t>;</w:t>
            </w:r>
          </w:p>
          <w:p w:rsidR="00124906" w:rsidRPr="00B67509" w:rsidRDefault="00124906" w:rsidP="00124906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</w:r>
            <w:r>
              <w:rPr>
                <w:sz w:val="16"/>
              </w:rPr>
              <w:t>f</w:t>
            </w:r>
            <w:r w:rsidRPr="00B67509">
              <w:rPr>
                <w:sz w:val="16"/>
              </w:rPr>
              <w:t>ocus ligt op uitvoering van werving en selectie en/of coördinatie van de opleiding/training van medewerkers t/m het middenkader</w:t>
            </w:r>
            <w:r>
              <w:rPr>
                <w:sz w:val="16"/>
              </w:rPr>
              <w:t xml:space="preserve"> </w:t>
            </w:r>
            <w:r w:rsidRPr="00B67509">
              <w:rPr>
                <w:sz w:val="16"/>
              </w:rPr>
              <w:t>(vestigingsmanagement e.d.).</w:t>
            </w:r>
          </w:p>
          <w:p w:rsidR="00124906" w:rsidRDefault="00124906" w:rsidP="00124906">
            <w:pPr>
              <w:spacing w:line="200" w:lineRule="atLeast"/>
              <w:rPr>
                <w:sz w:val="16"/>
              </w:rPr>
            </w:pPr>
          </w:p>
          <w:p w:rsidR="00124906" w:rsidRDefault="00124906" w:rsidP="00124906">
            <w:pPr>
              <w:spacing w:line="200" w:lineRule="atLeast"/>
              <w:rPr>
                <w:sz w:val="16"/>
              </w:rPr>
            </w:pPr>
          </w:p>
          <w:p w:rsidR="00124906" w:rsidRDefault="00124906" w:rsidP="00124906">
            <w:pPr>
              <w:spacing w:line="200" w:lineRule="atLeast"/>
              <w:ind w:left="284" w:hanging="284"/>
              <w:rPr>
                <w:sz w:val="16"/>
              </w:rPr>
            </w:pPr>
            <w:r>
              <w:rPr>
                <w:sz w:val="16"/>
              </w:rPr>
              <w:t>Referentiefunctie handboek 2002:</w:t>
            </w:r>
          </w:p>
          <w:p w:rsidR="00124906" w:rsidRPr="00B67509" w:rsidRDefault="00124906" w:rsidP="00124906">
            <w:pPr>
              <w:spacing w:line="200" w:lineRule="atLeas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Personeels- en trainingsfunctionaris (A.8.1)</w:t>
            </w:r>
          </w:p>
        </w:tc>
        <w:tc>
          <w:tcPr>
            <w:tcW w:w="4914" w:type="dxa"/>
            <w:tcBorders>
              <w:bottom w:val="single" w:sz="4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124906" w:rsidRPr="00AC4386" w:rsidRDefault="00124906" w:rsidP="00124906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  <w:r w:rsidRPr="00AC4386">
              <w:rPr>
                <w:sz w:val="16"/>
              </w:rPr>
              <w:t>Dit niveau is omsc</w:t>
            </w:r>
            <w:r>
              <w:rPr>
                <w:sz w:val="16"/>
              </w:rPr>
              <w:t>hreven in de referentiefunctie A</w:t>
            </w:r>
            <w:r w:rsidRPr="00AC4386">
              <w:rPr>
                <w:sz w:val="16"/>
              </w:rPr>
              <w:t>.</w:t>
            </w:r>
            <w:r>
              <w:rPr>
                <w:sz w:val="16"/>
              </w:rPr>
              <w:t>9</w:t>
            </w:r>
            <w:r w:rsidRPr="00AC4386">
              <w:rPr>
                <w:sz w:val="16"/>
              </w:rPr>
              <w:t>.</w:t>
            </w:r>
            <w:r>
              <w:rPr>
                <w:sz w:val="16"/>
              </w:rPr>
              <w:t>I</w:t>
            </w:r>
            <w:r w:rsidRPr="00AC4386">
              <w:rPr>
                <w:sz w:val="16"/>
              </w:rPr>
              <w:t>.</w:t>
            </w:r>
          </w:p>
          <w:p w:rsidR="00124906" w:rsidRPr="00AC4386" w:rsidRDefault="00124906" w:rsidP="00124906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</w:p>
          <w:p w:rsidR="00124906" w:rsidRPr="00AC4386" w:rsidRDefault="00124906" w:rsidP="00124906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  <w:r>
              <w:rPr>
                <w:sz w:val="16"/>
              </w:rPr>
              <w:t>PERSONEELSFUNCTIONARIS</w:t>
            </w:r>
          </w:p>
        </w:tc>
        <w:tc>
          <w:tcPr>
            <w:tcW w:w="4914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124906" w:rsidRPr="00B67509" w:rsidRDefault="00124906" w:rsidP="00124906">
            <w:pPr>
              <w:spacing w:line="200" w:lineRule="atLeast"/>
              <w:rPr>
                <w:sz w:val="16"/>
              </w:rPr>
            </w:pPr>
            <w:r w:rsidRPr="00B67509">
              <w:rPr>
                <w:sz w:val="16"/>
              </w:rPr>
              <w:t>Er is sprake van een inschaling in een hogere groep als de bedrijfsfunctie meer verantwoorde</w:t>
            </w:r>
            <w:r>
              <w:rPr>
                <w:sz w:val="16"/>
              </w:rPr>
              <w:softHyphen/>
            </w:r>
            <w:r w:rsidRPr="00B67509">
              <w:rPr>
                <w:sz w:val="16"/>
              </w:rPr>
              <w:t>lijkheden heeft of gesitueerd is in een complexere organisatie. De volgende kenmerken dienen dan overwegend aan de orde te zijn:</w:t>
            </w:r>
          </w:p>
          <w:p w:rsidR="00124906" w:rsidRPr="00B67509" w:rsidRDefault="00124906" w:rsidP="00124906">
            <w:pPr>
              <w:spacing w:line="200" w:lineRule="atLeast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 xml:space="preserve">het totale personeelsbestand </w:t>
            </w:r>
            <w:r w:rsidRPr="00B67509">
              <w:rPr>
                <w:sz w:val="16"/>
              </w:rPr>
              <w:t>bedraagt tussen de 150 en 250 medewerkers</w:t>
            </w:r>
            <w:r>
              <w:rPr>
                <w:sz w:val="16"/>
              </w:rPr>
              <w:t>;</w:t>
            </w:r>
          </w:p>
          <w:p w:rsidR="00124906" w:rsidRPr="00B67509" w:rsidRDefault="00124906" w:rsidP="00124906">
            <w:pPr>
              <w:spacing w:line="200" w:lineRule="atLeast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v</w:t>
            </w:r>
            <w:r w:rsidRPr="00B67509">
              <w:rPr>
                <w:sz w:val="16"/>
              </w:rPr>
              <w:t>oor de administratieve afhandeling en/of de salarisadministratie beschikt de personeelsfunctionaris over (een aantal) assistenten</w:t>
            </w:r>
            <w:r>
              <w:rPr>
                <w:sz w:val="16"/>
              </w:rPr>
              <w:t>;</w:t>
            </w:r>
          </w:p>
          <w:p w:rsidR="00124906" w:rsidRPr="00B67509" w:rsidRDefault="00124906" w:rsidP="00124906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</w:r>
            <w:r>
              <w:rPr>
                <w:sz w:val="16"/>
              </w:rPr>
              <w:t>e</w:t>
            </w:r>
            <w:r w:rsidRPr="00B67509">
              <w:rPr>
                <w:sz w:val="16"/>
              </w:rPr>
              <w:t>r is niet zozeer sprake van het bewaken en coördineren van de toepassing van personeelsinstrumenten maar van</w:t>
            </w:r>
            <w:r>
              <w:rPr>
                <w:sz w:val="16"/>
              </w:rPr>
              <w:t xml:space="preserve"> het sparren met lijnmanagement;</w:t>
            </w:r>
          </w:p>
          <w:p w:rsidR="00124906" w:rsidRPr="00B67509" w:rsidRDefault="00124906" w:rsidP="00124906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</w:r>
            <w:r>
              <w:rPr>
                <w:sz w:val="16"/>
              </w:rPr>
              <w:t>e</w:t>
            </w:r>
            <w:r w:rsidRPr="00B67509">
              <w:rPr>
                <w:sz w:val="16"/>
              </w:rPr>
              <w:t>r is geen vakinhoudelijk leidinggevende of het ontbreekt het centrale management aan inhoudelijke P&amp;O</w:t>
            </w:r>
            <w:r>
              <w:rPr>
                <w:sz w:val="16"/>
              </w:rPr>
              <w:t>-</w:t>
            </w:r>
            <w:r w:rsidRPr="00B67509">
              <w:rPr>
                <w:sz w:val="16"/>
              </w:rPr>
              <w:t>kennis</w:t>
            </w:r>
            <w:r>
              <w:rPr>
                <w:sz w:val="16"/>
              </w:rPr>
              <w:t>;</w:t>
            </w:r>
          </w:p>
          <w:p w:rsidR="00124906" w:rsidRDefault="00124906" w:rsidP="00124906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</w:r>
            <w:r>
              <w:rPr>
                <w:sz w:val="16"/>
              </w:rPr>
              <w:t>f</w:t>
            </w:r>
            <w:r w:rsidRPr="00B67509">
              <w:rPr>
                <w:sz w:val="16"/>
              </w:rPr>
              <w:t>unctionaris redeneert wel vanuit bestaande beleidskaders en instrumenten</w:t>
            </w:r>
            <w:r>
              <w:rPr>
                <w:sz w:val="16"/>
              </w:rPr>
              <w:t>,</w:t>
            </w:r>
            <w:r w:rsidRPr="00B67509">
              <w:rPr>
                <w:sz w:val="16"/>
              </w:rPr>
              <w:t xml:space="preserve"> maar heeft (ingezet d</w:t>
            </w:r>
            <w:r>
              <w:rPr>
                <w:sz w:val="16"/>
              </w:rPr>
              <w:t>o</w:t>
            </w:r>
            <w:r w:rsidRPr="00B67509">
              <w:rPr>
                <w:sz w:val="16"/>
              </w:rPr>
              <w:t>or de ontwikkeling van de organisatie) een sterke focus</w:t>
            </w:r>
            <w:r>
              <w:rPr>
                <w:sz w:val="16"/>
              </w:rPr>
              <w:t xml:space="preserve"> op</w:t>
            </w:r>
            <w:r w:rsidRPr="00B67509">
              <w:rPr>
                <w:sz w:val="16"/>
              </w:rPr>
              <w:t xml:space="preserve"> het integreren van losse instrumenten of het ontwikkelen van een samenhangend beleid</w:t>
            </w:r>
            <w:r>
              <w:rPr>
                <w:sz w:val="16"/>
              </w:rPr>
              <w:t>.</w:t>
            </w:r>
          </w:p>
          <w:p w:rsidR="00124906" w:rsidRPr="00B67509" w:rsidRDefault="00124906" w:rsidP="00124906">
            <w:pPr>
              <w:spacing w:line="200" w:lineRule="atLeast"/>
              <w:ind w:left="284" w:hanging="284"/>
              <w:rPr>
                <w:sz w:val="16"/>
              </w:rPr>
            </w:pPr>
          </w:p>
        </w:tc>
      </w:tr>
      <w:tr w:rsidR="00124906" w:rsidRPr="00B67509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124906" w:rsidRPr="00B67509" w:rsidRDefault="00124906" w:rsidP="00124906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8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124906" w:rsidRPr="00B67509" w:rsidRDefault="00124906" w:rsidP="00124906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9 (referentie)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124906" w:rsidRPr="00B67509" w:rsidRDefault="00124906" w:rsidP="00124906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10</w:t>
            </w:r>
          </w:p>
        </w:tc>
      </w:tr>
    </w:tbl>
    <w:p w:rsidR="00124906" w:rsidRPr="001073D2" w:rsidRDefault="00124906" w:rsidP="00124906">
      <w:pPr>
        <w:spacing w:line="220" w:lineRule="atLeast"/>
      </w:pPr>
    </w:p>
    <w:sectPr w:rsidR="00124906" w:rsidRPr="001073D2" w:rsidSect="001249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701" w:right="1134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AF4" w:rsidRDefault="00C14F8E" w:rsidP="001073D2">
      <w:pPr>
        <w:spacing w:line="240" w:lineRule="auto"/>
      </w:pPr>
      <w:r>
        <w:separator/>
      </w:r>
    </w:p>
  </w:endnote>
  <w:endnote w:type="continuationSeparator" w:id="0">
    <w:p w:rsidR="00E66AF4" w:rsidRDefault="00C14F8E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686" w:rsidRDefault="00B0168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06" w:rsidRPr="00F1522E" w:rsidRDefault="00124906" w:rsidP="00F1522E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686" w:rsidRDefault="00B0168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AF4" w:rsidRDefault="00C14F8E" w:rsidP="001073D2">
      <w:pPr>
        <w:spacing w:line="240" w:lineRule="auto"/>
      </w:pPr>
      <w:r>
        <w:separator/>
      </w:r>
    </w:p>
  </w:footnote>
  <w:footnote w:type="continuationSeparator" w:id="0">
    <w:p w:rsidR="00E66AF4" w:rsidRDefault="00C14F8E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686" w:rsidRDefault="00B0168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06" w:rsidRPr="004B5A50" w:rsidRDefault="00124906" w:rsidP="00124906">
    <w:pPr>
      <w:pStyle w:val="Koptekst"/>
      <w:tabs>
        <w:tab w:val="clear" w:pos="8306"/>
        <w:tab w:val="right" w:pos="14601"/>
      </w:tabs>
      <w:ind w:right="0"/>
      <w:jc w:val="left"/>
    </w:pPr>
    <w:r w:rsidRPr="004B5A50">
      <w:rPr>
        <w:lang w:eastAsia="nl-NL"/>
      </w:rPr>
      <w:t xml:space="preserve">Indelingshulpmiddel bij meer of minder verantwoordelijkheden dan de referentiefunctie: </w:t>
    </w:r>
    <w:r>
      <w:rPr>
        <w:lang w:eastAsia="nl-NL"/>
      </w:rPr>
      <w:t>Personeelsfunctionaris</w:t>
    </w:r>
    <w:r w:rsidRPr="004B5A50">
      <w:rPr>
        <w:caps/>
        <w:lang w:eastAsia="nl-NL"/>
      </w:rPr>
      <w:tab/>
    </w:r>
    <w:r w:rsidRPr="004B5A50">
      <w:rPr>
        <w:lang w:eastAsia="nl-NL"/>
      </w:rPr>
      <w:t>F</w:t>
    </w:r>
    <w:r>
      <w:rPr>
        <w:lang w:eastAsia="nl-NL"/>
      </w:rPr>
      <w:t>unctienummer:  A</w:t>
    </w:r>
    <w:r w:rsidRPr="004B5A50">
      <w:rPr>
        <w:lang w:eastAsia="nl-NL"/>
      </w:rPr>
      <w:t>.</w:t>
    </w:r>
    <w:r>
      <w:rPr>
        <w:lang w:eastAsia="nl-NL"/>
      </w:rPr>
      <w:t>9</w:t>
    </w:r>
    <w:r w:rsidRPr="004B5A50">
      <w:rPr>
        <w:lang w:eastAsia="nl-NL"/>
      </w:rPr>
      <w:t>.</w:t>
    </w:r>
    <w:r>
      <w:rPr>
        <w:lang w:eastAsia="nl-NL"/>
      </w:rPr>
      <w:t>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686" w:rsidRDefault="00B0168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1FE"/>
    <w:multiLevelType w:val="hybridMultilevel"/>
    <w:tmpl w:val="0BD8C79A"/>
    <w:lvl w:ilvl="0" w:tplc="A52627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74271D"/>
    <w:multiLevelType w:val="hybridMultilevel"/>
    <w:tmpl w:val="AF783032"/>
    <w:lvl w:ilvl="0" w:tplc="D75039E0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D1573"/>
    <w:rsid w:val="00124906"/>
    <w:rsid w:val="002D1573"/>
    <w:rsid w:val="00983128"/>
    <w:rsid w:val="00B01686"/>
    <w:rsid w:val="00C14F8E"/>
    <w:rsid w:val="00E66AF4"/>
    <w:rsid w:val="00F152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RESULTAATPROFIEL</vt:lpstr>
      <vt:lpstr>RESULTAATPROFIEL</vt:lpstr>
    </vt:vector>
  </TitlesOfParts>
  <Company>EVZ Organisatie-adviseurs</Company>
  <LinksUpToDate>false</LinksUpToDate>
  <CharactersWithSpaces>1767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2049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Wendy Terlouw</cp:lastModifiedBy>
  <cp:revision>5</cp:revision>
  <cp:lastPrinted>2011-03-21T14:19:00Z</cp:lastPrinted>
  <dcterms:created xsi:type="dcterms:W3CDTF">2011-07-21T15:49:00Z</dcterms:created>
  <dcterms:modified xsi:type="dcterms:W3CDTF">2012-06-06T11:56:00Z</dcterms:modified>
</cp:coreProperties>
</file>